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0"/>
        <w:jc w:val="both"/>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博政办字〔2023〕25号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博山区</w:t>
      </w:r>
      <w:r>
        <w:rPr>
          <w:rFonts w:hint="eastAsia" w:ascii="方正小标宋简体" w:hAnsi="方正小标宋简体" w:eastAsia="方正小标宋简体" w:cs="方正小标宋简体"/>
          <w:sz w:val="44"/>
          <w:szCs w:val="44"/>
        </w:rPr>
        <w:t>人民政府办公室</w:t>
      </w:r>
    </w:p>
    <w:p>
      <w:pPr>
        <w:keepNext w:val="0"/>
        <w:keepLines w:val="0"/>
        <w:pageBreakBefore w:val="0"/>
        <w:widowControl/>
        <w:kinsoku/>
        <w:wordWrap/>
        <w:overflowPunct/>
        <w:topLinePunct w:val="0"/>
        <w:autoSpaceDE/>
        <w:autoSpaceDN/>
        <w:bidi w:val="0"/>
        <w:adjustRightInd/>
        <w:snapToGrid/>
        <w:spacing w:line="576" w:lineRule="exact"/>
        <w:ind w:left="0" w:leftChars="0" w:right="0"/>
        <w:jc w:val="center"/>
        <w:textAlignment w:val="auto"/>
        <w:rPr>
          <w:rFonts w:hint="eastAsia" w:ascii="方正小标宋简体" w:hAnsi="Times New Roman" w:eastAsia="方正小标宋简体" w:cs="方正小标宋简体"/>
          <w:color w:val="auto"/>
          <w:kern w:val="0"/>
          <w:sz w:val="44"/>
          <w:szCs w:val="44"/>
          <w:u w:val="none"/>
          <w:lang w:val="en-US" w:eastAsia="zh-CN" w:bidi="ar-SA"/>
        </w:rPr>
      </w:pPr>
      <w:r>
        <w:rPr>
          <w:rFonts w:hint="eastAsia" w:ascii="方正小标宋简体" w:hAnsi="方正小标宋简体" w:eastAsia="方正小标宋简体" w:cs="方正小标宋简体"/>
          <w:sz w:val="44"/>
          <w:szCs w:val="44"/>
          <w:lang w:eastAsia="zh-CN"/>
        </w:rPr>
        <w:t>关于印发</w:t>
      </w:r>
      <w:r>
        <w:rPr>
          <w:rFonts w:hint="eastAsia" w:ascii="方正小标宋简体" w:hAnsi="Times New Roman" w:eastAsia="方正小标宋简体" w:cs="方正小标宋简体"/>
          <w:color w:val="auto"/>
          <w:kern w:val="0"/>
          <w:sz w:val="44"/>
          <w:szCs w:val="44"/>
          <w:u w:val="none"/>
          <w:lang w:val="en-US" w:eastAsia="zh-CN" w:bidi="ar-SA"/>
        </w:rPr>
        <w:t>博山区安全生产职责边界交叉</w:t>
      </w:r>
    </w:p>
    <w:p>
      <w:pPr>
        <w:keepNext w:val="0"/>
        <w:keepLines w:val="0"/>
        <w:pageBreakBefore w:val="0"/>
        <w:widowControl/>
        <w:kinsoku/>
        <w:wordWrap/>
        <w:overflowPunct/>
        <w:topLinePunct w:val="0"/>
        <w:autoSpaceDE/>
        <w:autoSpaceDN/>
        <w:bidi w:val="0"/>
        <w:adjustRightInd/>
        <w:snapToGrid/>
        <w:spacing w:line="576" w:lineRule="exact"/>
        <w:ind w:left="0" w:leftChars="0" w:right="0"/>
        <w:jc w:val="center"/>
        <w:textAlignment w:val="auto"/>
        <w:rPr>
          <w:rFonts w:hint="eastAsia" w:ascii="方正小标宋简体" w:hAnsi="方正小标宋简体" w:eastAsia="方正小标宋简体" w:cs="Times New Roman"/>
          <w:snapToGrid/>
          <w:kern w:val="2"/>
          <w:sz w:val="44"/>
          <w:szCs w:val="44"/>
          <w:lang w:val="en-US" w:eastAsia="zh-CN" w:bidi="ar-SA"/>
        </w:rPr>
      </w:pPr>
      <w:r>
        <w:rPr>
          <w:rFonts w:hint="eastAsia" w:ascii="方正小标宋简体" w:hAnsi="Times New Roman" w:eastAsia="方正小标宋简体" w:cs="方正小标宋简体"/>
          <w:color w:val="auto"/>
          <w:kern w:val="0"/>
          <w:sz w:val="44"/>
          <w:szCs w:val="44"/>
          <w:u w:val="none"/>
          <w:lang w:val="en-US" w:eastAsia="zh-CN" w:bidi="ar-SA"/>
        </w:rPr>
        <w:t>及新业态监管职责落实方案</w:t>
      </w:r>
      <w:r>
        <w:rPr>
          <w:rFonts w:hint="eastAsia" w:ascii="方正小标宋简体" w:hAnsi="方正小标宋简体" w:eastAsia="方正小标宋简体" w:cs="方正小标宋简体"/>
          <w:sz w:val="44"/>
          <w:szCs w:val="44"/>
          <w:lang w:eastAsia="zh-CN"/>
        </w:rPr>
        <w:t>的通知</w:t>
      </w: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方正小标宋简体" w:hAnsi="方正小标宋简体" w:eastAsia="方正小标宋简体" w:cs="Times New Roman"/>
          <w:snapToGrid/>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56"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各镇人民政府、街道办事处，开发区管委会,区政府有关部门,有关单位:</w:t>
      </w:r>
    </w:p>
    <w:p>
      <w:pPr>
        <w:pStyle w:val="9"/>
        <w:keepNext w:val="0"/>
        <w:keepLines w:val="0"/>
        <w:pageBreakBefore w:val="0"/>
        <w:widowControl w:val="0"/>
        <w:kinsoku/>
        <w:wordWrap/>
        <w:overflowPunct/>
        <w:topLinePunct w:val="0"/>
        <w:autoSpaceDE/>
        <w:autoSpaceDN/>
        <w:bidi w:val="0"/>
        <w:adjustRightInd/>
        <w:snapToGrid/>
        <w:spacing w:line="556"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kern w:val="2"/>
          <w:sz w:val="32"/>
          <w:szCs w:val="32"/>
          <w:lang w:val="en-US" w:eastAsia="zh-CN" w:bidi="ar-SA"/>
        </w:rPr>
        <w:t>现将</w:t>
      </w:r>
      <w:r>
        <w:rPr>
          <w:rFonts w:hint="eastAsia" w:ascii="仿宋_GB2312" w:hAnsi="仿宋_GB2312" w:eastAsia="仿宋_GB2312" w:cs="仿宋_GB2312"/>
          <w:snapToGrid/>
          <w:color w:val="000000" w:themeColor="text1"/>
          <w:kern w:val="2"/>
          <w:sz w:val="32"/>
          <w:szCs w:val="32"/>
          <w:lang w:val="en-US" w:eastAsia="zh-CN" w:bidi="ar-SA"/>
          <w14:textFill>
            <w14:solidFill>
              <w14:schemeClr w14:val="tx1"/>
            </w14:solidFill>
          </w14:textFill>
        </w:rPr>
        <w:t>《博山区安全生产职责边界交叉及新业态监管职责落实方案</w:t>
      </w:r>
      <w:r>
        <w:rPr>
          <w:rFonts w:hint="eastAsia" w:ascii="仿宋_GB2312" w:hAnsi="仿宋_GB2312" w:eastAsia="仿宋_GB2312" w:cs="仿宋_GB2312"/>
          <w:snapToGrid/>
          <w:kern w:val="2"/>
          <w:sz w:val="32"/>
          <w:szCs w:val="32"/>
          <w:lang w:val="en-US" w:eastAsia="zh-CN" w:bidi="ar-SA"/>
        </w:rPr>
        <w:t>》印发给你们，认真抓好贯彻落实。</w:t>
      </w:r>
    </w:p>
    <w:p>
      <w:pPr>
        <w:keepNext w:val="0"/>
        <w:keepLines w:val="0"/>
        <w:pageBreakBefore w:val="0"/>
        <w:widowControl w:val="0"/>
        <w:kinsoku/>
        <w:wordWrap/>
        <w:overflowPunct/>
        <w:topLinePunct w:val="0"/>
        <w:autoSpaceDE/>
        <w:autoSpaceDN/>
        <w:bidi w:val="0"/>
        <w:adjustRightInd/>
        <w:snapToGrid/>
        <w:spacing w:line="556" w:lineRule="exact"/>
        <w:ind w:right="0" w:firstLine="640" w:firstLineChars="200"/>
        <w:textAlignment w:val="auto"/>
        <w:rPr>
          <w:rFonts w:hint="eastAsia" w:ascii="仿宋_GB2312" w:hAnsi="仿宋_GB2312" w:eastAsia="仿宋_GB2312" w:cs="仿宋_GB2312"/>
          <w:sz w:val="32"/>
          <w:szCs w:val="32"/>
          <w:lang w:eastAsia="zh-CN"/>
        </w:rPr>
      </w:pPr>
    </w:p>
    <w:p>
      <w:pPr>
        <w:pStyle w:val="9"/>
        <w:keepNext w:val="0"/>
        <w:keepLines w:val="0"/>
        <w:pageBreakBefore w:val="0"/>
        <w:wordWrap/>
        <w:overflowPunct/>
        <w:topLinePunct w:val="0"/>
        <w:bidi w:val="0"/>
        <w:adjustRightInd/>
        <w:snapToGrid/>
        <w:spacing w:line="556" w:lineRule="exact"/>
        <w:ind w:left="0" w:leftChars="0" w:right="0" w:firstLine="640" w:firstLineChars="200"/>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4617" w:firstLineChars="1443"/>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博山区人民政府办公室 </w:t>
      </w:r>
    </w:p>
    <w:p>
      <w:pPr>
        <w:keepNext w:val="0"/>
        <w:keepLines w:val="0"/>
        <w:pageBreakBefore w:val="0"/>
        <w:widowControl w:val="0"/>
        <w:kinsoku/>
        <w:wordWrap w:val="0"/>
        <w:overflowPunct/>
        <w:topLinePunct w:val="0"/>
        <w:autoSpaceDE/>
        <w:autoSpaceDN/>
        <w:bidi w:val="0"/>
        <w:adjustRightInd/>
        <w:snapToGrid/>
        <w:spacing w:line="556" w:lineRule="exact"/>
        <w:ind w:left="0" w:leftChars="0" w:right="0" w:firstLine="0" w:firstLineChars="0"/>
        <w:jc w:val="righ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2023年8月22日        </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此件公开发布</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76" w:lineRule="exact"/>
        <w:ind w:left="0" w:leftChars="0" w:right="0"/>
        <w:jc w:val="center"/>
        <w:textAlignment w:val="auto"/>
        <w:rPr>
          <w:rFonts w:hint="eastAsia" w:ascii="方正小标宋简体" w:hAnsi="Times New Roman" w:eastAsia="方正小标宋简体" w:cs="方正小标宋简体"/>
          <w:color w:val="auto"/>
          <w:kern w:val="0"/>
          <w:sz w:val="44"/>
          <w:szCs w:val="44"/>
          <w:u w:val="none"/>
          <w:lang w:val="en-US" w:eastAsia="zh-CN" w:bidi="ar-SA"/>
        </w:rPr>
      </w:pPr>
      <w:r>
        <w:rPr>
          <w:rFonts w:hint="eastAsia" w:ascii="方正小标宋简体" w:hAnsi="Times New Roman" w:eastAsia="方正小标宋简体" w:cs="方正小标宋简体"/>
          <w:color w:val="auto"/>
          <w:kern w:val="0"/>
          <w:sz w:val="44"/>
          <w:szCs w:val="44"/>
          <w:u w:val="none"/>
          <w:lang w:val="en-US" w:eastAsia="zh-CN" w:bidi="ar-SA"/>
        </w:rPr>
        <w:t>博山区安全生产职责边界交叉及</w:t>
      </w:r>
    </w:p>
    <w:p>
      <w:pPr>
        <w:keepNext w:val="0"/>
        <w:keepLines w:val="0"/>
        <w:pageBreakBefore w:val="0"/>
        <w:widowControl/>
        <w:kinsoku/>
        <w:wordWrap/>
        <w:overflowPunct/>
        <w:topLinePunct w:val="0"/>
        <w:autoSpaceDE/>
        <w:autoSpaceDN/>
        <w:bidi w:val="0"/>
        <w:adjustRightInd/>
        <w:snapToGrid/>
        <w:spacing w:line="576" w:lineRule="exact"/>
        <w:ind w:left="0" w:leftChars="0" w:right="0"/>
        <w:jc w:val="center"/>
        <w:textAlignment w:val="auto"/>
        <w:rPr>
          <w:rFonts w:hint="eastAsia" w:ascii="方正小标宋简体" w:hAnsi="Times New Roman" w:eastAsia="方正小标宋简体" w:cs="方正小标宋简体"/>
          <w:color w:val="auto"/>
          <w:kern w:val="0"/>
          <w:sz w:val="44"/>
          <w:szCs w:val="44"/>
          <w:u w:val="none"/>
          <w:lang w:val="en-US" w:eastAsia="zh-CN" w:bidi="ar-SA"/>
        </w:rPr>
      </w:pPr>
      <w:r>
        <w:rPr>
          <w:rFonts w:hint="eastAsia" w:ascii="方正小标宋简体" w:hAnsi="Times New Roman" w:eastAsia="方正小标宋简体" w:cs="方正小标宋简体"/>
          <w:color w:val="auto"/>
          <w:kern w:val="0"/>
          <w:sz w:val="44"/>
          <w:szCs w:val="44"/>
          <w:u w:val="none"/>
          <w:lang w:val="en-US" w:eastAsia="zh-CN" w:bidi="ar-SA"/>
        </w:rPr>
        <w:t>新业态监管职责落实方案</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 w:hAnsi="仿宋" w:eastAsia="仿宋" w:cs="仿宋"/>
          <w:color w:val="auto"/>
          <w:kern w:val="2"/>
          <w:sz w:val="32"/>
          <w:szCs w:val="32"/>
          <w:u w:val="none"/>
          <w:lang w:val="en-US" w:eastAsia="zh-CN" w:bidi="ar-SA"/>
        </w:rPr>
      </w:pP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根据我区安全生产监管工作需要，现制定安全职责边界交叉及新业态领域制定安全生产监管职责落实方案如下：</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黑体" w:hAnsi="黑体" w:eastAsia="黑体" w:cs="黑体"/>
          <w:color w:val="auto"/>
          <w:kern w:val="0"/>
          <w:sz w:val="32"/>
          <w:szCs w:val="32"/>
          <w:u w:val="none"/>
          <w:lang w:val="en-US" w:eastAsia="zh-CN" w:bidi="ar-SA"/>
        </w:rPr>
      </w:pPr>
      <w:r>
        <w:rPr>
          <w:rFonts w:hint="eastAsia" w:ascii="黑体" w:hAnsi="黑体" w:eastAsia="黑体" w:cs="黑体"/>
          <w:color w:val="auto"/>
          <w:kern w:val="0"/>
          <w:sz w:val="32"/>
          <w:szCs w:val="32"/>
          <w:u w:val="none"/>
          <w:lang w:val="en-US" w:eastAsia="zh-CN" w:bidi="ar-SA"/>
        </w:rPr>
        <w:t>一、工作总体目标</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为深入贯彻落实习近平总书记关于安全生产重要论述，坚持“人民至上、生命至上”，树牢安全发展理念，扎实推进安全生产治理体系和治理能力现代化。在相关法律法规及文件通知规定明确的各行业领域安全生产监管职责基础上，全面加强职责边界交叉和新行业、新业态安全监管工作，强化和落实安全生产监管责任，消除监管空白和盲区，防止和减少生产安全事故，保障人民群众生命和财产安全，促进全区经济社会持续健康发展。</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黑体" w:hAnsi="黑体" w:eastAsia="黑体" w:cs="黑体"/>
          <w:color w:val="auto"/>
          <w:kern w:val="0"/>
          <w:sz w:val="32"/>
          <w:szCs w:val="32"/>
          <w:u w:val="none"/>
          <w:lang w:val="en-US" w:eastAsia="zh-CN" w:bidi="ar-SA"/>
        </w:rPr>
      </w:pPr>
      <w:r>
        <w:rPr>
          <w:rFonts w:hint="eastAsia" w:ascii="黑体" w:hAnsi="黑体" w:eastAsia="黑体" w:cs="黑体"/>
          <w:color w:val="auto"/>
          <w:kern w:val="0"/>
          <w:sz w:val="32"/>
          <w:szCs w:val="32"/>
          <w:u w:val="none"/>
          <w:lang w:val="en-US" w:eastAsia="zh-CN" w:bidi="ar-SA"/>
        </w:rPr>
        <w:t>二、职责确认原则</w:t>
      </w:r>
    </w:p>
    <w:p>
      <w:pPr>
        <w:keepNext w:val="0"/>
        <w:keepLines w:val="0"/>
        <w:pageBreakBefore w:val="0"/>
        <w:wordWrap/>
        <w:overflowPunct/>
        <w:topLinePunct w:val="0"/>
        <w:bidi w:val="0"/>
        <w:adjustRightInd/>
        <w:snapToGrid/>
        <w:spacing w:line="576" w:lineRule="exact"/>
        <w:ind w:left="0" w:right="0" w:firstLine="616"/>
        <w:jc w:val="both"/>
        <w:rPr>
          <w:rFonts w:hint="eastAsia" w:ascii="仿宋_GB2312" w:hAnsi="仿宋_GB2312" w:eastAsia="仿宋_GB2312" w:cs="仿宋_GB2312"/>
          <w:sz w:val="31"/>
          <w:szCs w:val="31"/>
        </w:rPr>
      </w:pPr>
      <w:r>
        <w:rPr>
          <w:rFonts w:hint="eastAsia" w:ascii="楷体_GB2312" w:hAnsi="楷体_GB2312" w:eastAsia="楷体_GB2312" w:cs="楷体_GB2312"/>
          <w:snapToGrid/>
          <w:kern w:val="0"/>
          <w:sz w:val="32"/>
          <w:szCs w:val="32"/>
          <w:lang w:val="en-US" w:eastAsia="zh-CN" w:bidi="zh-CN"/>
        </w:rPr>
        <w:t>（一）职责“法定”原则。</w:t>
      </w:r>
      <w:r>
        <w:rPr>
          <w:rFonts w:hint="eastAsia" w:ascii="仿宋_GB2312" w:hAnsi="仿宋_GB2312" w:eastAsia="仿宋_GB2312" w:cs="仿宋_GB2312"/>
          <w:snapToGrid/>
          <w:kern w:val="2"/>
          <w:sz w:val="32"/>
          <w:szCs w:val="32"/>
          <w:u w:val="none"/>
          <w:lang w:val="en-US" w:eastAsia="zh-CN" w:bidi="ar-SA"/>
        </w:rPr>
        <w:t>按照相关法律法规、规章制度、“三定”职责和重要指导性文件等依据，除法律法规明确的以外，负有行业领域监督管理职责的部门同时行使其安全监管职责。</w:t>
      </w:r>
    </w:p>
    <w:p>
      <w:pPr>
        <w:keepNext w:val="0"/>
        <w:keepLines w:val="0"/>
        <w:pageBreakBefore w:val="0"/>
        <w:wordWrap/>
        <w:overflowPunct/>
        <w:topLinePunct w:val="0"/>
        <w:bidi w:val="0"/>
        <w:adjustRightInd/>
        <w:snapToGrid/>
        <w:spacing w:line="576" w:lineRule="exact"/>
        <w:ind w:left="0" w:right="0" w:firstLine="626"/>
        <w:jc w:val="both"/>
        <w:rPr>
          <w:rFonts w:hint="eastAsia" w:ascii="仿宋" w:hAnsi="仿宋" w:eastAsia="仿宋" w:cs="仿宋"/>
          <w:snapToGrid/>
          <w:kern w:val="2"/>
          <w:sz w:val="32"/>
          <w:szCs w:val="32"/>
          <w:u w:val="none"/>
          <w:lang w:val="en-US" w:eastAsia="zh-CN" w:bidi="ar-SA"/>
        </w:rPr>
      </w:pPr>
      <w:r>
        <w:rPr>
          <w:rFonts w:hint="eastAsia" w:ascii="楷体_GB2312" w:hAnsi="楷体_GB2312" w:eastAsia="楷体_GB2312" w:cs="楷体_GB2312"/>
          <w:snapToGrid/>
          <w:kern w:val="0"/>
          <w:sz w:val="32"/>
          <w:szCs w:val="32"/>
          <w:lang w:val="en-US" w:eastAsia="zh-CN" w:bidi="zh-CN"/>
        </w:rPr>
        <w:t>（二）“三个必须”原则。</w:t>
      </w:r>
      <w:r>
        <w:rPr>
          <w:rFonts w:hint="eastAsia" w:ascii="仿宋_GB2312" w:hAnsi="仿宋_GB2312" w:eastAsia="仿宋_GB2312" w:cs="仿宋_GB2312"/>
          <w:snapToGrid/>
          <w:kern w:val="2"/>
          <w:sz w:val="32"/>
          <w:szCs w:val="32"/>
          <w:u w:val="none"/>
          <w:lang w:val="en-US" w:eastAsia="zh-CN" w:bidi="ar-SA"/>
        </w:rPr>
        <w:t>按照“管行业必须管安全，管业务必须管安全，管生产经营必须管安全”和“谁审批谁负责、谁主管谁负责、谁监管谁负责、谁投资谁负责、谁运营谁负责”要求，明确各有关部门和单位的安全生产任务分工。</w:t>
      </w:r>
    </w:p>
    <w:p>
      <w:pPr>
        <w:keepNext w:val="0"/>
        <w:keepLines w:val="0"/>
        <w:pageBreakBefore w:val="0"/>
        <w:wordWrap/>
        <w:overflowPunct/>
        <w:topLinePunct w:val="0"/>
        <w:bidi w:val="0"/>
        <w:adjustRightInd/>
        <w:snapToGrid/>
        <w:spacing w:line="576" w:lineRule="exact"/>
        <w:ind w:left="0" w:right="0" w:firstLine="616"/>
        <w:jc w:val="both"/>
        <w:rPr>
          <w:rFonts w:hint="eastAsia" w:ascii="仿宋_GB2312" w:hAnsi="仿宋_GB2312" w:eastAsia="仿宋_GB2312" w:cs="仿宋_GB2312"/>
          <w:snapToGrid/>
          <w:kern w:val="2"/>
          <w:sz w:val="32"/>
          <w:szCs w:val="32"/>
          <w:u w:val="none"/>
          <w:lang w:val="en-US" w:eastAsia="zh-CN" w:bidi="ar-SA"/>
        </w:rPr>
      </w:pPr>
      <w:r>
        <w:rPr>
          <w:rFonts w:hint="eastAsia" w:ascii="楷体_GB2312" w:hAnsi="楷体_GB2312" w:eastAsia="楷体_GB2312" w:cs="楷体_GB2312"/>
          <w:snapToGrid/>
          <w:kern w:val="0"/>
          <w:sz w:val="32"/>
          <w:szCs w:val="32"/>
          <w:lang w:val="en-US" w:eastAsia="zh-CN" w:bidi="zh-CN"/>
        </w:rPr>
        <w:t>（三）业务相近原则。</w:t>
      </w:r>
      <w:r>
        <w:rPr>
          <w:rFonts w:hint="eastAsia" w:ascii="仿宋_GB2312" w:hAnsi="仿宋_GB2312" w:eastAsia="仿宋_GB2312" w:cs="仿宋_GB2312"/>
          <w:snapToGrid/>
          <w:kern w:val="2"/>
          <w:sz w:val="32"/>
          <w:szCs w:val="32"/>
          <w:u w:val="none"/>
          <w:lang w:val="en-US" w:eastAsia="zh-CN" w:bidi="ar-SA"/>
        </w:rPr>
        <w:t>对新行业、新业态领域的安全生产监督管理职责不明确的，按照监管职能相同或相近以及具有专业人员与技术仪器设备的要求明确各有关部门和单位的安全生产任务分工。</w:t>
      </w:r>
    </w:p>
    <w:p>
      <w:pPr>
        <w:keepNext w:val="0"/>
        <w:keepLines w:val="0"/>
        <w:pageBreakBefore w:val="0"/>
        <w:wordWrap/>
        <w:overflowPunct/>
        <w:topLinePunct w:val="0"/>
        <w:bidi w:val="0"/>
        <w:adjustRightInd/>
        <w:snapToGrid/>
        <w:spacing w:line="576" w:lineRule="exact"/>
        <w:ind w:left="0" w:right="0" w:firstLine="616"/>
        <w:jc w:val="both"/>
        <w:rPr>
          <w:rFonts w:hint="eastAsia" w:ascii="仿宋_GB2312" w:hAnsi="仿宋_GB2312" w:eastAsia="仿宋_GB2312" w:cs="仿宋_GB2312"/>
          <w:snapToGrid/>
          <w:kern w:val="2"/>
          <w:sz w:val="32"/>
          <w:szCs w:val="32"/>
          <w:u w:val="none"/>
          <w:lang w:val="en-US" w:eastAsia="zh-CN" w:bidi="ar-SA"/>
        </w:rPr>
      </w:pPr>
      <w:r>
        <w:rPr>
          <w:rFonts w:hint="eastAsia" w:ascii="楷体_GB2312" w:hAnsi="楷体_GB2312" w:eastAsia="楷体_GB2312" w:cs="楷体_GB2312"/>
          <w:snapToGrid/>
          <w:kern w:val="0"/>
          <w:sz w:val="32"/>
          <w:szCs w:val="32"/>
          <w:lang w:val="en-US" w:eastAsia="zh-CN" w:bidi="zh-CN"/>
        </w:rPr>
        <w:t>（四）“四个监管”协同原则。</w:t>
      </w:r>
      <w:r>
        <w:rPr>
          <w:rFonts w:hint="eastAsia" w:ascii="仿宋_GB2312" w:hAnsi="仿宋_GB2312" w:eastAsia="仿宋_GB2312" w:cs="仿宋_GB2312"/>
          <w:snapToGrid/>
          <w:kern w:val="2"/>
          <w:sz w:val="32"/>
          <w:szCs w:val="32"/>
          <w:u w:val="none"/>
          <w:lang w:val="en-US" w:eastAsia="zh-CN" w:bidi="ar-SA"/>
        </w:rPr>
        <w:t>强化应急管理部门的综合监管、各负有安全生产监管职责部门直接监管、行业主管部门行业管理和镇（街道）属地监管的协同配合，形成一家牵头、多家协助、各负其责的安全监管体系。</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楷体_GB2312" w:hAnsi="楷体_GB2312" w:eastAsia="楷体_GB2312" w:cs="楷体_GB2312"/>
          <w:snapToGrid/>
          <w:kern w:val="0"/>
          <w:sz w:val="32"/>
          <w:szCs w:val="32"/>
          <w:lang w:val="en-US" w:eastAsia="zh-CN" w:bidi="zh-CN"/>
        </w:rPr>
        <w:t>（五）分级负责原则。</w:t>
      </w:r>
      <w:r>
        <w:rPr>
          <w:rFonts w:hint="eastAsia" w:ascii="仿宋_GB2312" w:hAnsi="仿宋_GB2312" w:eastAsia="仿宋_GB2312" w:cs="仿宋_GB2312"/>
          <w:snapToGrid/>
          <w:kern w:val="2"/>
          <w:sz w:val="32"/>
          <w:szCs w:val="32"/>
          <w:u w:val="none"/>
          <w:lang w:val="en-US" w:eastAsia="zh-CN" w:bidi="ar-SA"/>
        </w:rPr>
        <w:t>各负有安全生产监管职责部门和行业领域主管部门根据行业领域内的生产经营单位规模、风险大小等标准按照分级负责原则确定负主责的监管层级，对所有生产经营单位的监管做到纵向到底、无缝对接。</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黑体" w:hAnsi="黑体" w:eastAsia="黑体" w:cs="黑体"/>
          <w:color w:val="auto"/>
          <w:kern w:val="0"/>
          <w:sz w:val="32"/>
          <w:szCs w:val="32"/>
          <w:u w:val="none"/>
          <w:lang w:val="en-US" w:eastAsia="zh-CN" w:bidi="ar-SA"/>
        </w:rPr>
      </w:pPr>
      <w:r>
        <w:rPr>
          <w:rFonts w:hint="eastAsia" w:ascii="黑体" w:hAnsi="黑体" w:eastAsia="黑体" w:cs="黑体"/>
          <w:color w:val="auto"/>
          <w:kern w:val="0"/>
          <w:sz w:val="32"/>
          <w:szCs w:val="32"/>
          <w:u w:val="none"/>
          <w:lang w:val="en-US" w:eastAsia="zh-CN" w:bidi="ar-SA"/>
        </w:rPr>
        <w:t>三、职责落实机制</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楷体_GB2312" w:hAnsi="楷体_GB2312" w:eastAsia="楷体_GB2312" w:cs="楷体_GB2312"/>
          <w:snapToGrid/>
          <w:kern w:val="0"/>
          <w:sz w:val="32"/>
          <w:szCs w:val="32"/>
          <w:lang w:val="en-US" w:eastAsia="zh-CN" w:bidi="zh-CN"/>
        </w:rPr>
      </w:pPr>
      <w:r>
        <w:rPr>
          <w:rFonts w:hint="eastAsia" w:ascii="楷体_GB2312" w:hAnsi="楷体_GB2312" w:eastAsia="楷体_GB2312" w:cs="楷体_GB2312"/>
          <w:snapToGrid/>
          <w:kern w:val="0"/>
          <w:sz w:val="32"/>
          <w:szCs w:val="32"/>
          <w:lang w:val="en-US" w:eastAsia="zh-CN" w:bidi="zh-CN"/>
        </w:rPr>
        <w:t>（一）安全监管工作机制</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仿宋_GB2312" w:hAnsi="仿宋_GB2312" w:eastAsia="仿宋_GB2312" w:cs="仿宋_GB2312"/>
          <w:snapToGrid/>
          <w:kern w:val="2"/>
          <w:sz w:val="32"/>
          <w:szCs w:val="32"/>
          <w:u w:val="none"/>
          <w:lang w:val="en-US" w:eastAsia="zh-CN" w:bidi="ar-SA"/>
        </w:rPr>
        <w:t>1.各负有行业主管、直接监管和业务监管职责的部门要根据监管分工主动开展工作。</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仿宋_GB2312" w:hAnsi="仿宋_GB2312" w:eastAsia="仿宋_GB2312" w:cs="仿宋_GB2312"/>
          <w:snapToGrid/>
          <w:kern w:val="2"/>
          <w:sz w:val="32"/>
          <w:szCs w:val="32"/>
          <w:u w:val="none"/>
          <w:lang w:val="en-US" w:eastAsia="zh-CN" w:bidi="ar-SA"/>
        </w:rPr>
        <w:t>2.对监管中发现的问题不属于本部门职责的，或涉及多个部门管理的，要通过问题函告、案件移交等方式，及时向有关部门推送和案件移交，确保不再出现新的监管空白和薄弱环节。</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仿宋_GB2312" w:hAnsi="仿宋_GB2312" w:eastAsia="仿宋_GB2312" w:cs="仿宋_GB2312"/>
          <w:snapToGrid/>
          <w:kern w:val="2"/>
          <w:sz w:val="32"/>
          <w:szCs w:val="32"/>
          <w:u w:val="none"/>
          <w:lang w:val="en-US" w:eastAsia="zh-CN" w:bidi="ar-SA"/>
        </w:rPr>
        <w:t>3.对监管行业领域问题多、整治难度大，且涉及多个监管部门单位的，或需要进行跨部门集中整治、验收评审等事项的，建立联合监管、联合执法机制，由行业主管部门牵头，组织相关部门参加。必要时可向区安全生产委员会办公室提出申请，由区安全生产委员会办公室组织联合执法、联合整治。</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楷体_GB2312" w:hAnsi="楷体_GB2312" w:eastAsia="楷体_GB2312" w:cs="楷体_GB2312"/>
          <w:snapToGrid/>
          <w:kern w:val="0"/>
          <w:sz w:val="32"/>
          <w:szCs w:val="32"/>
          <w:lang w:val="en-US" w:eastAsia="zh-CN" w:bidi="zh-CN"/>
        </w:rPr>
      </w:pPr>
      <w:r>
        <w:rPr>
          <w:rFonts w:hint="eastAsia" w:ascii="楷体_GB2312" w:hAnsi="楷体_GB2312" w:eastAsia="楷体_GB2312" w:cs="楷体_GB2312"/>
          <w:snapToGrid/>
          <w:kern w:val="0"/>
          <w:sz w:val="32"/>
          <w:szCs w:val="32"/>
          <w:lang w:val="en-US" w:eastAsia="zh-CN" w:bidi="zh-CN"/>
        </w:rPr>
        <w:t>（二）安全监管职能调整机制</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仿宋_GB2312" w:hAnsi="仿宋_GB2312" w:eastAsia="仿宋_GB2312" w:cs="仿宋_GB2312"/>
          <w:snapToGrid/>
          <w:kern w:val="2"/>
          <w:sz w:val="32"/>
          <w:szCs w:val="32"/>
          <w:u w:val="none"/>
          <w:lang w:val="en-US" w:eastAsia="zh-CN" w:bidi="ar-SA"/>
        </w:rPr>
        <w:t>1.当出现监管职能争议时：由安全监管相关职能部门提报区安全生产委员会办公室，区安全生产委员会办公室或会同区委编办召集有关部门进行会商研究确定；对仍不能确定的提交区政府常务会研究确定。</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仿宋_GB2312" w:hAnsi="仿宋_GB2312" w:eastAsia="仿宋_GB2312" w:cs="仿宋_GB2312"/>
          <w:snapToGrid/>
          <w:kern w:val="2"/>
          <w:sz w:val="32"/>
          <w:szCs w:val="32"/>
          <w:u w:val="none"/>
          <w:lang w:val="en-US" w:eastAsia="zh-CN" w:bidi="ar-SA"/>
        </w:rPr>
        <w:t>2.当安全监管形势发生变化时：由区安全生产委员会办公室会集相关部门意见，按照业务相近等原则梳理制定监管职责，确保监管事项应管尽管。</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黑体" w:hAnsi="黑体" w:eastAsia="黑体" w:cs="黑体"/>
          <w:color w:val="auto"/>
          <w:kern w:val="0"/>
          <w:sz w:val="32"/>
          <w:szCs w:val="32"/>
          <w:u w:val="none"/>
          <w:lang w:val="en-US" w:eastAsia="zh-CN" w:bidi="ar-SA"/>
        </w:rPr>
      </w:pPr>
      <w:r>
        <w:rPr>
          <w:rFonts w:hint="eastAsia" w:ascii="黑体" w:hAnsi="黑体" w:eastAsia="黑体" w:cs="黑体"/>
          <w:color w:val="auto"/>
          <w:kern w:val="0"/>
          <w:sz w:val="32"/>
          <w:szCs w:val="32"/>
          <w:u w:val="none"/>
          <w:lang w:val="en-US" w:eastAsia="zh-CN" w:bidi="ar-SA"/>
        </w:rPr>
        <w:t>四、工作保障措施</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default" w:ascii="仿宋_GB2312" w:hAnsi="仿宋_GB2312" w:eastAsia="仿宋_GB2312" w:cs="仿宋_GB2312"/>
          <w:snapToGrid/>
          <w:kern w:val="2"/>
          <w:sz w:val="32"/>
          <w:szCs w:val="32"/>
          <w:u w:val="none"/>
          <w:lang w:val="en-US" w:eastAsia="zh-CN" w:bidi="ar-SA"/>
        </w:rPr>
      </w:pPr>
      <w:r>
        <w:rPr>
          <w:rFonts w:hint="eastAsia" w:ascii="仿宋_GB2312" w:hAnsi="仿宋_GB2312" w:eastAsia="仿宋_GB2312" w:cs="仿宋_GB2312"/>
          <w:snapToGrid/>
          <w:kern w:val="2"/>
          <w:sz w:val="32"/>
          <w:szCs w:val="32"/>
          <w:u w:val="none"/>
          <w:lang w:val="en-US" w:eastAsia="zh-CN" w:bidi="ar-SA"/>
        </w:rPr>
        <w:t>《博山区安全生产职责边界交叉及新业态监管职责落实方案》印发后，各镇（街道）、各有关部门要主动作为，确保监管职责履职到位，保证全区安全生产形势总体稳定。对不履行监管职责或出现推诿扯皮现象，造成职责边界交叉事项、新业态领域长期失管漏管，并造成重大隐患或引发生产安全事故的，将提请有关部门处理。</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黑体" w:hAnsi="黑体" w:eastAsia="黑体" w:cs="黑体"/>
          <w:color w:val="auto"/>
          <w:kern w:val="0"/>
          <w:sz w:val="32"/>
          <w:szCs w:val="32"/>
          <w:u w:val="none"/>
          <w:lang w:val="en-US" w:eastAsia="zh-CN" w:bidi="ar-SA"/>
        </w:rPr>
      </w:pPr>
      <w:r>
        <w:rPr>
          <w:rFonts w:hint="eastAsia" w:ascii="黑体" w:hAnsi="黑体" w:eastAsia="黑体" w:cs="黑体"/>
          <w:color w:val="auto"/>
          <w:kern w:val="0"/>
          <w:sz w:val="32"/>
          <w:szCs w:val="32"/>
          <w:u w:val="none"/>
          <w:lang w:val="en-US" w:eastAsia="zh-CN" w:bidi="ar-SA"/>
        </w:rPr>
        <w:t>五、相关情况说明</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仿宋_GB2312" w:hAnsi="仿宋_GB2312" w:eastAsia="仿宋_GB2312" w:cs="仿宋_GB2312"/>
          <w:snapToGrid/>
          <w:kern w:val="2"/>
          <w:sz w:val="32"/>
          <w:szCs w:val="32"/>
          <w:u w:val="none"/>
          <w:lang w:val="en-US" w:eastAsia="zh-CN" w:bidi="ar-SA"/>
        </w:rPr>
        <w:t>本方案中所涉监管事项，若有上级政府分工文件再行明确的，按照上级政府分工文件规定执行；若本方案中仍有未列明的安全监管事项的，按业务相近原则，由业务相近主管部门主动负责，先行开展安全监管。</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黑体" w:hAnsi="黑体" w:eastAsia="黑体" w:cs="黑体"/>
          <w:color w:val="auto"/>
          <w:kern w:val="0"/>
          <w:sz w:val="32"/>
          <w:szCs w:val="32"/>
          <w:u w:val="none"/>
          <w:lang w:val="en-US" w:eastAsia="zh-CN" w:bidi="ar-SA"/>
        </w:rPr>
        <w:t>六、</w:t>
      </w:r>
      <w:r>
        <w:rPr>
          <w:rFonts w:hint="eastAsia" w:ascii="仿宋_GB2312" w:hAnsi="仿宋_GB2312" w:eastAsia="仿宋_GB2312" w:cs="仿宋_GB2312"/>
          <w:snapToGrid/>
          <w:kern w:val="2"/>
          <w:sz w:val="32"/>
          <w:szCs w:val="32"/>
          <w:u w:val="none"/>
          <w:lang w:val="en-US" w:eastAsia="zh-CN" w:bidi="ar-SA"/>
        </w:rPr>
        <w:t>本方案由区应急管理局负责解释。</w:t>
      </w:r>
    </w:p>
    <w:p>
      <w:pPr>
        <w:keepNext w:val="0"/>
        <w:keepLines w:val="0"/>
        <w:pageBreakBefore w:val="0"/>
        <w:widowControl/>
        <w:kinsoku/>
        <w:wordWrap/>
        <w:overflowPunct/>
        <w:topLinePunct w:val="0"/>
        <w:autoSpaceDE/>
        <w:autoSpaceDN/>
        <w:bidi w:val="0"/>
        <w:adjustRightInd/>
        <w:snapToGrid/>
        <w:spacing w:line="576" w:lineRule="exact"/>
        <w:ind w:left="0" w:leftChars="0" w:right="0"/>
        <w:jc w:val="both"/>
        <w:textAlignment w:val="auto"/>
        <w:rPr>
          <w:rFonts w:ascii="黑体" w:hAnsi="黑体" w:eastAsia="黑体" w:cs="黑体"/>
          <w:color w:val="auto"/>
          <w:spacing w:val="-15"/>
          <w:sz w:val="32"/>
          <w:szCs w:val="32"/>
          <w:u w:val="none"/>
        </w:rPr>
      </w:pP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640" w:firstLineChars="2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仿宋_GB2312" w:hAnsi="仿宋_GB2312" w:eastAsia="仿宋_GB2312" w:cs="仿宋_GB2312"/>
          <w:snapToGrid/>
          <w:kern w:val="2"/>
          <w:sz w:val="32"/>
          <w:szCs w:val="32"/>
          <w:u w:val="none"/>
          <w:lang w:val="en-US" w:eastAsia="zh-CN" w:bidi="ar-SA"/>
        </w:rPr>
        <w:t>附件：博山区安全生产职责边界交叉及新业态监管工作职</w:t>
      </w:r>
    </w:p>
    <w:p>
      <w:pPr>
        <w:keepNext w:val="0"/>
        <w:keepLines w:val="0"/>
        <w:pageBreakBefore w:val="0"/>
        <w:widowControl w:val="0"/>
        <w:kinsoku/>
        <w:wordWrap/>
        <w:overflowPunct/>
        <w:topLinePunct w:val="0"/>
        <w:autoSpaceDE w:val="0"/>
        <w:autoSpaceDN w:val="0"/>
        <w:bidi w:val="0"/>
        <w:adjustRightInd/>
        <w:snapToGrid/>
        <w:spacing w:line="576" w:lineRule="exact"/>
        <w:ind w:left="0" w:right="0" w:firstLine="1600" w:firstLineChars="500"/>
        <w:jc w:val="both"/>
        <w:textAlignment w:val="auto"/>
        <w:rPr>
          <w:rFonts w:hint="eastAsia" w:ascii="仿宋_GB2312" w:hAnsi="仿宋_GB2312" w:eastAsia="仿宋_GB2312" w:cs="仿宋_GB2312"/>
          <w:snapToGrid/>
          <w:kern w:val="2"/>
          <w:sz w:val="32"/>
          <w:szCs w:val="32"/>
          <w:u w:val="none"/>
          <w:lang w:val="en-US" w:eastAsia="zh-CN" w:bidi="ar-SA"/>
        </w:rPr>
      </w:pPr>
      <w:r>
        <w:rPr>
          <w:rFonts w:hint="eastAsia" w:ascii="仿宋_GB2312" w:hAnsi="仿宋_GB2312" w:eastAsia="仿宋_GB2312" w:cs="仿宋_GB2312"/>
          <w:snapToGrid/>
          <w:kern w:val="2"/>
          <w:sz w:val="32"/>
          <w:szCs w:val="32"/>
          <w:u w:val="none"/>
          <w:lang w:val="en-US" w:eastAsia="zh-CN" w:bidi="ar-SA"/>
        </w:rPr>
        <w:t>责清单</w:t>
      </w:r>
    </w:p>
    <w:p>
      <w:pPr>
        <w:pStyle w:val="9"/>
        <w:keepNext w:val="0"/>
        <w:keepLines w:val="0"/>
        <w:pageBreakBefore w:val="0"/>
        <w:wordWrap/>
        <w:overflowPunct/>
        <w:topLinePunct w:val="0"/>
        <w:bidi w:val="0"/>
        <w:adjustRightInd/>
        <w:snapToGrid/>
        <w:spacing w:line="576" w:lineRule="exact"/>
        <w:ind w:right="0"/>
        <w:rPr>
          <w:rFonts w:hint="eastAsia" w:ascii="黑体" w:hAnsi="黑体" w:eastAsia="黑体" w:cs="黑体"/>
          <w:color w:val="auto"/>
          <w:spacing w:val="-15"/>
          <w:sz w:val="31"/>
          <w:szCs w:val="31"/>
          <w:u w:val="none"/>
          <w:lang w:eastAsia="zh-CN"/>
        </w:rPr>
      </w:pPr>
    </w:p>
    <w:p>
      <w:pPr>
        <w:keepNext w:val="0"/>
        <w:keepLines w:val="0"/>
        <w:pageBreakBefore w:val="0"/>
        <w:wordWrap/>
        <w:overflowPunct/>
        <w:topLinePunct w:val="0"/>
        <w:bidi w:val="0"/>
        <w:adjustRightInd/>
        <w:snapToGrid/>
        <w:spacing w:line="576" w:lineRule="exact"/>
        <w:ind w:right="0"/>
        <w:rPr>
          <w:rFonts w:ascii="黑体" w:hAnsi="黑体" w:eastAsia="黑体" w:cs="黑体"/>
          <w:color w:val="auto"/>
          <w:spacing w:val="-15"/>
          <w:sz w:val="31"/>
          <w:szCs w:val="31"/>
          <w:u w:val="none"/>
        </w:rPr>
      </w:pPr>
      <w:r>
        <w:rPr>
          <w:rFonts w:ascii="黑体" w:hAnsi="黑体" w:eastAsia="黑体" w:cs="黑体"/>
          <w:color w:val="auto"/>
          <w:spacing w:val="-15"/>
          <w:sz w:val="31"/>
          <w:szCs w:val="31"/>
          <w:u w:val="none"/>
        </w:rPr>
        <w:br w:type="page"/>
      </w:r>
    </w:p>
    <w:p>
      <w:pPr>
        <w:keepNext w:val="0"/>
        <w:keepLines w:val="0"/>
        <w:pageBreakBefore w:val="0"/>
        <w:widowControl/>
        <w:kinsoku/>
        <w:wordWrap/>
        <w:overflowPunct/>
        <w:topLinePunct w:val="0"/>
        <w:autoSpaceDE/>
        <w:autoSpaceDN/>
        <w:bidi w:val="0"/>
        <w:adjustRightInd/>
        <w:snapToGrid/>
        <w:spacing w:line="576" w:lineRule="exact"/>
        <w:ind w:left="0" w:leftChars="0" w:right="0"/>
        <w:jc w:val="both"/>
        <w:textAlignment w:val="auto"/>
        <w:rPr>
          <w:rFonts w:ascii="黑体" w:hAnsi="黑体" w:eastAsia="黑体" w:cs="黑体"/>
          <w:color w:val="auto"/>
          <w:spacing w:val="-15"/>
          <w:sz w:val="32"/>
          <w:szCs w:val="32"/>
          <w:u w:val="none"/>
        </w:rPr>
      </w:pPr>
      <w:r>
        <w:rPr>
          <w:rFonts w:ascii="黑体" w:hAnsi="黑体" w:eastAsia="黑体" w:cs="黑体"/>
          <w:color w:val="auto"/>
          <w:spacing w:val="-15"/>
          <w:sz w:val="32"/>
          <w:szCs w:val="32"/>
          <w:u w:val="none"/>
        </w:rPr>
        <w:t>附件</w:t>
      </w:r>
    </w:p>
    <w:p>
      <w:pPr>
        <w:keepNext w:val="0"/>
        <w:keepLines w:val="0"/>
        <w:pageBreakBefore w:val="0"/>
        <w:widowControl/>
        <w:kinsoku/>
        <w:wordWrap/>
        <w:overflowPunct/>
        <w:topLinePunct w:val="0"/>
        <w:autoSpaceDE/>
        <w:autoSpaceDN/>
        <w:bidi w:val="0"/>
        <w:adjustRightInd/>
        <w:snapToGrid/>
        <w:spacing w:line="576" w:lineRule="exact"/>
        <w:ind w:left="0" w:leftChars="0" w:right="0"/>
        <w:jc w:val="both"/>
        <w:textAlignment w:val="auto"/>
        <w:rPr>
          <w:rFonts w:ascii="黑体" w:hAnsi="黑体" w:eastAsia="黑体" w:cs="黑体"/>
          <w:color w:val="auto"/>
          <w:spacing w:val="-15"/>
          <w:sz w:val="32"/>
          <w:szCs w:val="32"/>
          <w:u w:val="none"/>
        </w:rPr>
      </w:pPr>
    </w:p>
    <w:p>
      <w:pPr>
        <w:keepNext w:val="0"/>
        <w:keepLines w:val="0"/>
        <w:pageBreakBefore w:val="0"/>
        <w:widowControl/>
        <w:kinsoku/>
        <w:wordWrap/>
        <w:overflowPunct/>
        <w:topLinePunct w:val="0"/>
        <w:autoSpaceDE/>
        <w:autoSpaceDN/>
        <w:bidi w:val="0"/>
        <w:adjustRightInd/>
        <w:snapToGrid/>
        <w:spacing w:line="576" w:lineRule="exact"/>
        <w:ind w:left="0" w:leftChars="0" w:right="0"/>
        <w:jc w:val="center"/>
        <w:textAlignment w:val="auto"/>
        <w:rPr>
          <w:rFonts w:hint="eastAsia" w:ascii="方正小标宋简体" w:hAnsi="Times New Roman" w:eastAsia="方正小标宋简体" w:cs="方正小标宋简体"/>
          <w:b w:val="0"/>
          <w:bCs w:val="0"/>
          <w:color w:val="auto"/>
          <w:kern w:val="0"/>
          <w:sz w:val="44"/>
          <w:szCs w:val="44"/>
          <w:u w:val="none"/>
          <w:lang w:val="en-US" w:eastAsia="zh-CN" w:bidi="ar-SA"/>
        </w:rPr>
      </w:pPr>
      <w:r>
        <w:rPr>
          <w:rFonts w:hint="eastAsia" w:ascii="方正小标宋简体" w:hAnsi="Calibri" w:eastAsia="方正小标宋简体"/>
          <w:b w:val="0"/>
          <w:bCs w:val="0"/>
          <w:color w:val="auto"/>
          <w:kern w:val="2"/>
          <w:sz w:val="44"/>
          <w:szCs w:val="44"/>
          <w:u w:val="none"/>
          <w:lang w:val="en-US" w:eastAsia="zh-CN" w:bidi="ar-SA"/>
        </w:rPr>
        <w:t>博山区</w:t>
      </w:r>
      <w:r>
        <w:rPr>
          <w:rFonts w:hint="eastAsia" w:ascii="方正小标宋简体" w:hAnsi="Times New Roman" w:eastAsia="方正小标宋简体" w:cs="方正小标宋简体"/>
          <w:b w:val="0"/>
          <w:bCs w:val="0"/>
          <w:color w:val="auto"/>
          <w:kern w:val="0"/>
          <w:sz w:val="44"/>
          <w:szCs w:val="44"/>
          <w:u w:val="none"/>
          <w:lang w:val="en-US" w:eastAsia="zh-CN" w:bidi="ar-SA"/>
        </w:rPr>
        <w:t>安全生产职责边界交叉及</w:t>
      </w:r>
    </w:p>
    <w:p>
      <w:pPr>
        <w:keepNext w:val="0"/>
        <w:keepLines w:val="0"/>
        <w:pageBreakBefore w:val="0"/>
        <w:widowControl/>
        <w:kinsoku/>
        <w:wordWrap/>
        <w:overflowPunct/>
        <w:topLinePunct w:val="0"/>
        <w:autoSpaceDE/>
        <w:autoSpaceDN/>
        <w:bidi w:val="0"/>
        <w:adjustRightInd/>
        <w:snapToGrid/>
        <w:spacing w:line="576" w:lineRule="exact"/>
        <w:ind w:left="0" w:leftChars="0" w:right="0"/>
        <w:jc w:val="center"/>
        <w:textAlignment w:val="auto"/>
        <w:rPr>
          <w:rFonts w:hint="eastAsia"/>
          <w:b w:val="0"/>
          <w:bCs w:val="0"/>
          <w:color w:val="auto"/>
          <w:u w:val="none"/>
          <w:lang w:val="en-US" w:eastAsia="zh-CN"/>
        </w:rPr>
      </w:pPr>
      <w:r>
        <w:rPr>
          <w:rFonts w:hint="eastAsia" w:ascii="方正小标宋简体" w:hAnsi="Times New Roman" w:eastAsia="方正小标宋简体" w:cs="方正小标宋简体"/>
          <w:b w:val="0"/>
          <w:bCs w:val="0"/>
          <w:color w:val="auto"/>
          <w:kern w:val="0"/>
          <w:sz w:val="44"/>
          <w:szCs w:val="44"/>
          <w:u w:val="none"/>
          <w:lang w:val="en-US" w:eastAsia="zh-CN" w:bidi="ar-SA"/>
        </w:rPr>
        <w:t>新业态监管</w:t>
      </w:r>
      <w:r>
        <w:rPr>
          <w:rFonts w:hint="eastAsia" w:ascii="方正小标宋简体" w:hAnsi="Calibri" w:eastAsia="方正小标宋简体"/>
          <w:b w:val="0"/>
          <w:bCs w:val="0"/>
          <w:color w:val="auto"/>
          <w:kern w:val="2"/>
          <w:sz w:val="44"/>
          <w:szCs w:val="44"/>
          <w:u w:val="none"/>
          <w:lang w:val="en-US" w:eastAsia="zh-CN" w:bidi="ar-SA"/>
        </w:rPr>
        <w:t>工作职责清单</w:t>
      </w:r>
    </w:p>
    <w:p>
      <w:pPr>
        <w:pStyle w:val="8"/>
        <w:keepNext w:val="0"/>
        <w:keepLines w:val="0"/>
        <w:pageBreakBefore w:val="0"/>
        <w:widowControl/>
        <w:kinsoku/>
        <w:wordWrap/>
        <w:overflowPunct/>
        <w:topLinePunct w:val="0"/>
        <w:autoSpaceDE/>
        <w:autoSpaceDN/>
        <w:bidi w:val="0"/>
        <w:adjustRightInd/>
        <w:snapToGrid/>
        <w:spacing w:line="576" w:lineRule="exact"/>
        <w:ind w:left="0" w:leftChars="0" w:right="0"/>
        <w:textAlignment w:val="auto"/>
        <w:rPr>
          <w:rFonts w:hint="eastAsia"/>
          <w:b w:val="0"/>
          <w:bCs w:val="0"/>
          <w:color w:val="auto"/>
          <w:u w:val="none"/>
          <w:lang w:val="en-US" w:eastAsia="zh-CN"/>
        </w:rPr>
      </w:pPr>
    </w:p>
    <w:p>
      <w:pPr>
        <w:keepNext w:val="0"/>
        <w:keepLines w:val="0"/>
        <w:pageBreakBefore w:val="0"/>
        <w:widowControl/>
        <w:numPr>
          <w:ilvl w:val="0"/>
          <w:numId w:val="1"/>
        </w:numPr>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黑体" w:hAnsi="黑体" w:eastAsia="黑体" w:cs="黑体"/>
          <w:b w:val="0"/>
          <w:bCs w:val="0"/>
          <w:color w:val="auto"/>
          <w:kern w:val="0"/>
          <w:sz w:val="32"/>
          <w:szCs w:val="32"/>
          <w:u w:val="none"/>
          <w:lang w:val="en-US" w:eastAsia="zh-CN" w:bidi="ar-SA"/>
        </w:rPr>
      </w:pPr>
      <w:r>
        <w:rPr>
          <w:rFonts w:hint="eastAsia" w:ascii="黑体" w:hAnsi="黑体" w:eastAsia="黑体" w:cs="黑体"/>
          <w:b w:val="0"/>
          <w:bCs w:val="0"/>
          <w:color w:val="auto"/>
          <w:kern w:val="0"/>
          <w:sz w:val="32"/>
          <w:szCs w:val="32"/>
          <w:u w:val="none"/>
          <w:lang w:val="en-US" w:eastAsia="zh-CN" w:bidi="ar-SA"/>
        </w:rPr>
        <w:t>餐饮（含烧烤）住宿场所</w:t>
      </w:r>
    </w:p>
    <w:p>
      <w:pPr>
        <w:keepNext w:val="0"/>
        <w:keepLines w:val="0"/>
        <w:pageBreakBefore w:val="0"/>
        <w:widowControl w:val="0"/>
        <w:numPr>
          <w:ilvl w:val="0"/>
          <w:numId w:val="0"/>
        </w:numPr>
        <w:kinsoku/>
        <w:wordWrap/>
        <w:overflowPunct/>
        <w:topLinePunct w:val="0"/>
        <w:autoSpaceDE w:val="0"/>
        <w:autoSpaceDN w:val="0"/>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按照属地监管原则，餐饮（含烧烤）住宿场所安全由所属行业主管部门牵头，代表属地政府（专业安委会）承担综合监管职责，各部门（专业安委会成员单位）按分工履行监管职责。</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商务局牵头制定餐饮（含烧烤）、住宿行业分级分类监管意见，对全区餐饮（含烧烤）、住宿场所实施综合监管，确保全区餐饮、住宿行业安全监管全覆盖。区住房和城乡建设局负责牵头对餐饮（含烧烤）、住宿场所供气的燃气企业、自建房安全监督管理，提出餐饮行业使用燃气的基本安全要求；督促、指导燃气经营企业建立燃气设施日常巡查制度，对使用燃气的餐饮行业生产经营单位安全用气进行定期入户安全检查，及时消除事故隐患。区文化和旅游局会同有关部门负责对A级景区内餐饮（含烧烤）、住宿场所安全监管工作。区消防救援大队依职责指导相关部门和单位场所落实消防安全管理责任，负责依法对消防安全重点单位和一般单位中的餐饮（含烧烤）住宿场所遵守消防法规、技术标准情况开展监督检查。区公安分局按照分工承担餐饮（含烧烤）住宿场所安全监管责任。</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黑体" w:hAnsi="黑体" w:eastAsia="黑体" w:cs="黑体"/>
          <w:b w:val="0"/>
          <w:bCs w:val="0"/>
          <w:color w:val="auto"/>
          <w:kern w:val="0"/>
          <w:sz w:val="32"/>
          <w:szCs w:val="32"/>
          <w:u w:val="none"/>
          <w:lang w:val="en-US" w:eastAsia="zh-CN" w:bidi="ar-SA"/>
        </w:rPr>
      </w:pPr>
      <w:r>
        <w:rPr>
          <w:rFonts w:hint="eastAsia" w:ascii="黑体" w:hAnsi="黑体" w:eastAsia="黑体" w:cs="黑体"/>
          <w:b w:val="0"/>
          <w:bCs w:val="0"/>
          <w:color w:val="auto"/>
          <w:kern w:val="0"/>
          <w:sz w:val="32"/>
          <w:szCs w:val="32"/>
          <w:u w:val="none"/>
          <w:lang w:val="en-US" w:eastAsia="zh-CN" w:bidi="ar-SA"/>
        </w:rPr>
        <w:t>二、非A级旅游景区</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区文化和旅游局牵头负责非</w:t>
      </w:r>
      <w:r>
        <w:rPr>
          <w:rFonts w:hint="default" w:ascii="仿宋_GB2312" w:hAnsi="仿宋_GB2312" w:eastAsia="仿宋_GB2312" w:cs="仿宋_GB2312"/>
          <w:b w:val="0"/>
          <w:bCs w:val="0"/>
          <w:color w:val="auto"/>
          <w:kern w:val="0"/>
          <w:sz w:val="32"/>
          <w:szCs w:val="32"/>
          <w:u w:val="none"/>
          <w:lang w:val="en-US" w:eastAsia="zh-CN" w:bidi="ar-SA"/>
        </w:rPr>
        <w:t>A</w:t>
      </w:r>
      <w:r>
        <w:rPr>
          <w:rFonts w:hint="eastAsia" w:ascii="仿宋_GB2312" w:hAnsi="仿宋_GB2312" w:eastAsia="仿宋_GB2312" w:cs="仿宋_GB2312"/>
          <w:b w:val="0"/>
          <w:bCs w:val="0"/>
          <w:color w:val="auto"/>
          <w:kern w:val="0"/>
          <w:sz w:val="32"/>
          <w:szCs w:val="32"/>
          <w:u w:val="none"/>
          <w:lang w:val="en-US" w:eastAsia="zh-CN" w:bidi="ar-SA"/>
        </w:rPr>
        <w:t>级旅游景区的综合监管，牵头制定非</w:t>
      </w:r>
      <w:r>
        <w:rPr>
          <w:rFonts w:hint="default" w:ascii="仿宋_GB2312" w:hAnsi="仿宋_GB2312" w:eastAsia="仿宋_GB2312" w:cs="仿宋_GB2312"/>
          <w:b w:val="0"/>
          <w:bCs w:val="0"/>
          <w:color w:val="auto"/>
          <w:kern w:val="0"/>
          <w:sz w:val="32"/>
          <w:szCs w:val="32"/>
          <w:u w:val="none"/>
          <w:lang w:val="en-US" w:eastAsia="zh-CN" w:bidi="ar-SA"/>
        </w:rPr>
        <w:t>A</w:t>
      </w:r>
      <w:r>
        <w:rPr>
          <w:rFonts w:hint="eastAsia" w:ascii="仿宋_GB2312" w:hAnsi="仿宋_GB2312" w:eastAsia="仿宋_GB2312" w:cs="仿宋_GB2312"/>
          <w:b w:val="0"/>
          <w:bCs w:val="0"/>
          <w:color w:val="auto"/>
          <w:kern w:val="0"/>
          <w:sz w:val="32"/>
          <w:szCs w:val="32"/>
          <w:u w:val="none"/>
          <w:lang w:val="en-US" w:eastAsia="zh-CN" w:bidi="ar-SA"/>
        </w:rPr>
        <w:t>级旅游景区分级分类监管方案，组织相关镇（街道）、部门开展安全监管。区农业农村局负责休闲农业区域内非A级景区生产经营单位的安全生产督导指导工作。区自然资源局负责林地、湿地区域内非A级景区生产经营单位的安全生产督导指导工作。区综合行政执法局负责绿地、公园等区域内非A级景区生产经营单位的安全生产督导指导工作。</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firstLine="640" w:firstLineChars="200"/>
        <w:textAlignment w:val="auto"/>
        <w:rPr>
          <w:rFonts w:hint="eastAsia" w:ascii="黑体" w:hAnsi="黑体" w:eastAsia="黑体" w:cs="黑体"/>
          <w:b w:val="0"/>
          <w:bCs w:val="0"/>
          <w:color w:val="auto"/>
          <w:kern w:val="0"/>
          <w:sz w:val="32"/>
          <w:szCs w:val="32"/>
          <w:u w:val="none"/>
          <w:lang w:val="en-US" w:eastAsia="zh-CN" w:bidi="ar-SA"/>
        </w:rPr>
      </w:pPr>
      <w:r>
        <w:rPr>
          <w:rFonts w:hint="eastAsia" w:ascii="黑体" w:hAnsi="黑体" w:eastAsia="黑体" w:cs="黑体"/>
          <w:b w:val="0"/>
          <w:bCs w:val="0"/>
          <w:color w:val="auto"/>
          <w:kern w:val="0"/>
          <w:sz w:val="32"/>
          <w:szCs w:val="32"/>
          <w:u w:val="none"/>
          <w:lang w:val="en-US" w:eastAsia="zh-CN" w:bidi="ar-SA"/>
        </w:rPr>
        <w:t>三、特种设备目录外的游乐设施（含玻璃悬索桥、玻璃栈道、吊桥、充气城堡、充气滑梯、蹦蹦床、卡丁车等）</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文化和旅游局负责A级景区、星级旅游饭店、星级民宿区域内特种设备目录外的小型外游乐设施的安全监管。区商务局牵头做好其他酒店或餐饮场所内及商场、大型综合体内游乐设施的安全监管。区教育和体育局负责学校（含民办学校）内游乐设施的、体育场馆内游乐设施的安全监管。区农业农村局负责休闲农业区域内游乐设施的安全监管。区自然资源局负责林地、湿地区域内旅游休闲场所游乐设施的安全监管。区综合行政执法局负责城市绿地、公园等区域内游乐设施以及有物业管理住宅小区内游乐设施的安全监管。区卫生健康局负责医疗服务机构内及托育机构内游乐设施的安全监管。</w:t>
      </w:r>
    </w:p>
    <w:p>
      <w:pPr>
        <w:keepNext w:val="0"/>
        <w:keepLines w:val="0"/>
        <w:pageBreakBefore w:val="0"/>
        <w:widowControl/>
        <w:numPr>
          <w:ilvl w:val="0"/>
          <w:numId w:val="2"/>
        </w:numPr>
        <w:kinsoku/>
        <w:wordWrap/>
        <w:overflowPunct/>
        <w:topLinePunct w:val="0"/>
        <w:autoSpaceDE/>
        <w:autoSpaceDN/>
        <w:bidi w:val="0"/>
        <w:adjustRightInd/>
        <w:snapToGrid/>
        <w:spacing w:line="576" w:lineRule="exact"/>
        <w:ind w:left="0" w:leftChars="0" w:right="0" w:rightChars="0" w:firstLine="632" w:firstLineChars="200"/>
        <w:textAlignment w:val="auto"/>
        <w:rPr>
          <w:rFonts w:hint="eastAsia" w:ascii="黑体" w:hAnsi="黑体" w:eastAsia="黑体" w:cs="黑体"/>
          <w:b w:val="0"/>
          <w:bCs w:val="0"/>
          <w:color w:val="auto"/>
          <w:spacing w:val="-2"/>
          <w:sz w:val="32"/>
          <w:szCs w:val="32"/>
          <w:highlight w:val="none"/>
          <w:u w:val="none"/>
          <w:lang w:eastAsia="zh-CN"/>
        </w:rPr>
      </w:pPr>
      <w:r>
        <w:rPr>
          <w:rFonts w:hint="eastAsia" w:ascii="黑体" w:hAnsi="黑体" w:eastAsia="黑体" w:cs="黑体"/>
          <w:b w:val="0"/>
          <w:bCs w:val="0"/>
          <w:color w:val="auto"/>
          <w:spacing w:val="-2"/>
          <w:sz w:val="32"/>
          <w:szCs w:val="32"/>
          <w:highlight w:val="none"/>
          <w:u w:val="none"/>
        </w:rPr>
        <w:t>民宿</w:t>
      </w:r>
      <w:r>
        <w:rPr>
          <w:rFonts w:hint="eastAsia" w:ascii="黑体" w:hAnsi="黑体" w:eastAsia="黑体" w:cs="黑体"/>
          <w:b w:val="0"/>
          <w:bCs w:val="0"/>
          <w:color w:val="auto"/>
          <w:spacing w:val="-2"/>
          <w:sz w:val="32"/>
          <w:szCs w:val="32"/>
          <w:highlight w:val="none"/>
          <w:u w:val="none"/>
          <w:lang w:eastAsia="zh-CN"/>
        </w:rPr>
        <w:t>行业</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文化和旅游局负责民宿行业的安全综合监管，牵头制定博山区民宿行业分级分类监管方案，组织相关镇（街道）、部门对民宿行业开展安全监管。公安、住建、商务、市场监管、综合执法、消防救援等部门按照各自职责做好安全监管工作。</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24" w:firstLineChars="200"/>
        <w:jc w:val="both"/>
        <w:textAlignment w:val="auto"/>
        <w:rPr>
          <w:rFonts w:hint="eastAsia" w:ascii="黑体" w:hAnsi="黑体" w:eastAsia="黑体" w:cs="黑体"/>
          <w:b w:val="0"/>
          <w:bCs w:val="0"/>
          <w:color w:val="auto"/>
          <w:spacing w:val="-4"/>
          <w:sz w:val="32"/>
          <w:szCs w:val="32"/>
          <w:u w:val="none"/>
        </w:rPr>
      </w:pPr>
      <w:r>
        <w:rPr>
          <w:rFonts w:hint="eastAsia" w:ascii="黑体" w:hAnsi="黑体" w:eastAsia="黑体" w:cs="黑体"/>
          <w:b w:val="0"/>
          <w:bCs w:val="0"/>
          <w:color w:val="auto"/>
          <w:spacing w:val="-4"/>
          <w:sz w:val="32"/>
          <w:szCs w:val="32"/>
          <w:u w:val="none"/>
          <w:lang w:eastAsia="zh-CN"/>
        </w:rPr>
        <w:t>五、</w:t>
      </w:r>
      <w:r>
        <w:rPr>
          <w:rFonts w:hint="eastAsia" w:ascii="黑体" w:hAnsi="黑体" w:eastAsia="黑体" w:cs="黑体"/>
          <w:b w:val="0"/>
          <w:bCs w:val="0"/>
          <w:color w:val="auto"/>
          <w:spacing w:val="-4"/>
          <w:sz w:val="32"/>
          <w:szCs w:val="32"/>
          <w:u w:val="none"/>
        </w:rPr>
        <w:t>密室逃脱、剧本杀、电竞馆、鬼屋等文化娱乐场所</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文化和旅游局牵头负责密室逃脱、剧本杀、电竞馆、鬼屋等文化娱乐场所的安全监管，负责星级旅游饭店、星级民宿内文化娱乐场所的安全监管。区商务局牵头做好其他酒店或餐饮场所内及商场、大型综合体内文化娱乐场所的安全监管。区住房和城乡建设局负责文化娱乐场所涉及新建建设工程的消防验收备案工作。区消防救援大队依职责指导相关部门和单位场所落实消防安全管理责任，负责依法对符合消防安全重点单位界定标准的文化娱乐场所遵守消防法规、技术标准情况开展监督检查。</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60" w:firstLineChars="200"/>
        <w:jc w:val="both"/>
        <w:textAlignment w:val="auto"/>
        <w:rPr>
          <w:rFonts w:hint="eastAsia" w:ascii="黑体" w:hAnsi="黑体" w:eastAsia="黑体" w:cs="黑体"/>
          <w:b w:val="0"/>
          <w:bCs w:val="0"/>
          <w:color w:val="auto"/>
          <w:spacing w:val="5"/>
          <w:kern w:val="0"/>
          <w:sz w:val="32"/>
          <w:szCs w:val="32"/>
          <w:u w:val="none"/>
        </w:rPr>
      </w:pPr>
      <w:r>
        <w:rPr>
          <w:rFonts w:hint="eastAsia" w:ascii="黑体" w:hAnsi="黑体" w:eastAsia="黑体" w:cs="黑体"/>
          <w:b w:val="0"/>
          <w:bCs w:val="0"/>
          <w:color w:val="auto"/>
          <w:spacing w:val="5"/>
          <w:kern w:val="0"/>
          <w:sz w:val="32"/>
          <w:szCs w:val="32"/>
          <w:u w:val="none"/>
          <w:lang w:eastAsia="zh-CN"/>
        </w:rPr>
        <w:t>六</w:t>
      </w:r>
      <w:r>
        <w:rPr>
          <w:rFonts w:hint="eastAsia" w:ascii="黑体" w:hAnsi="黑体" w:eastAsia="黑体" w:cs="黑体"/>
          <w:b w:val="0"/>
          <w:bCs w:val="0"/>
          <w:color w:val="auto"/>
          <w:spacing w:val="5"/>
          <w:kern w:val="0"/>
          <w:sz w:val="32"/>
          <w:szCs w:val="32"/>
          <w:u w:val="none"/>
        </w:rPr>
        <w:t>、室内冰雪场所</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住房和城乡建设局负责指导镇（街道）做好室内冰雪场所涉及房屋建筑工程施工过程的安全生产监管工作。区文化和旅游局负责做好A级旅游景区室内冰雪场所项目及游乐场所和游乐设施安全管理工作，依法参与安全事故的应急处置和应急救援。区应急管理局负责指导、协调室内冰雪场所涉及的行业安全生产主管部门和行业安全生产直接监管责任部门履行安全监管职责。区市场监督管理局负责对列入《特种设备目录》（原国家质检总局2014年第114号公告）的设备实施监督检查。区教育和体育局负责监督指导涉及体育项目审批的室内冰雪场所安全管理工作。区消防救援大队依职责负责室内冰雪场所安全突发事件应对处置工作，指导相关部门和单位场所落实消防安全管理责任。</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60" w:firstLineChars="200"/>
        <w:jc w:val="both"/>
        <w:textAlignment w:val="auto"/>
        <w:rPr>
          <w:rFonts w:hint="eastAsia" w:ascii="黑体" w:hAnsi="黑体" w:eastAsia="黑体" w:cs="黑体"/>
          <w:b w:val="0"/>
          <w:bCs w:val="0"/>
          <w:color w:val="auto"/>
          <w:spacing w:val="5"/>
          <w:sz w:val="32"/>
          <w:szCs w:val="32"/>
          <w:u w:val="none"/>
        </w:rPr>
      </w:pPr>
      <w:r>
        <w:rPr>
          <w:rFonts w:hint="eastAsia" w:ascii="黑体" w:hAnsi="黑体" w:eastAsia="黑体" w:cs="黑体"/>
          <w:b w:val="0"/>
          <w:bCs w:val="0"/>
          <w:color w:val="auto"/>
          <w:spacing w:val="5"/>
          <w:kern w:val="0"/>
          <w:sz w:val="32"/>
          <w:szCs w:val="32"/>
          <w:u w:val="none"/>
          <w:lang w:eastAsia="zh-CN"/>
        </w:rPr>
        <w:t>七、健身、野战基地、拓展训练等</w:t>
      </w:r>
      <w:r>
        <w:rPr>
          <w:rFonts w:hint="eastAsia" w:ascii="黑体" w:hAnsi="黑体" w:eastAsia="黑体" w:cs="黑体"/>
          <w:b w:val="0"/>
          <w:bCs w:val="0"/>
          <w:color w:val="auto"/>
          <w:spacing w:val="5"/>
          <w:sz w:val="32"/>
          <w:szCs w:val="32"/>
          <w:u w:val="none"/>
        </w:rPr>
        <w:t>活动场所</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区教育和体育局负责冰雪、健身、野战基地、拓展训练等活动场所的安全监管。区消防救援大队依职责负责健身、拓展训练等安全突发应对处置工作，指导相关部门和单位场所落实消防安全管理责任。</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60" w:firstLineChars="200"/>
        <w:jc w:val="both"/>
        <w:textAlignment w:val="auto"/>
        <w:rPr>
          <w:rFonts w:hint="eastAsia" w:ascii="黑体" w:hAnsi="黑体" w:eastAsia="黑体" w:cs="黑体"/>
          <w:b w:val="0"/>
          <w:bCs w:val="0"/>
          <w:color w:val="auto"/>
          <w:spacing w:val="5"/>
          <w:kern w:val="0"/>
          <w:sz w:val="32"/>
          <w:szCs w:val="32"/>
          <w:u w:val="none"/>
          <w:lang w:eastAsia="zh-CN"/>
        </w:rPr>
      </w:pPr>
      <w:r>
        <w:rPr>
          <w:rFonts w:hint="eastAsia" w:ascii="黑体" w:hAnsi="黑体" w:eastAsia="黑体" w:cs="黑体"/>
          <w:b w:val="0"/>
          <w:bCs w:val="0"/>
          <w:color w:val="auto"/>
          <w:spacing w:val="5"/>
          <w:kern w:val="0"/>
          <w:sz w:val="32"/>
          <w:szCs w:val="32"/>
          <w:u w:val="none"/>
          <w:lang w:eastAsia="zh-CN"/>
        </w:rPr>
        <w:t>八、马拉松、自行车越野等体育赛事及文旅活动</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区教育和体育局负责马拉松、自行车越野等体育赛事活动的安全监管。区交警大队负责体育赛事活动的道路交通安全监管。区文化和旅游局负责文化旅游活动的综合安全监管。</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704" w:firstLineChars="200"/>
        <w:jc w:val="both"/>
        <w:textAlignment w:val="auto"/>
        <w:rPr>
          <w:rFonts w:hint="eastAsia" w:ascii="黑体" w:hAnsi="黑体" w:eastAsia="黑体" w:cs="黑体"/>
          <w:b w:val="0"/>
          <w:bCs w:val="0"/>
          <w:color w:val="auto"/>
          <w:spacing w:val="16"/>
          <w:sz w:val="32"/>
          <w:szCs w:val="32"/>
          <w:u w:val="none"/>
          <w:lang w:eastAsia="zh-CN"/>
        </w:rPr>
      </w:pPr>
      <w:r>
        <w:rPr>
          <w:rFonts w:hint="eastAsia" w:ascii="黑体" w:hAnsi="黑体" w:eastAsia="黑体" w:cs="黑体"/>
          <w:b w:val="0"/>
          <w:bCs w:val="0"/>
          <w:color w:val="auto"/>
          <w:spacing w:val="16"/>
          <w:sz w:val="32"/>
          <w:szCs w:val="32"/>
          <w:u w:val="none"/>
          <w:lang w:eastAsia="zh-CN"/>
        </w:rPr>
        <w:t>九、</w:t>
      </w:r>
      <w:r>
        <w:rPr>
          <w:rFonts w:hint="eastAsia" w:ascii="黑体" w:hAnsi="黑体" w:eastAsia="黑体" w:cs="黑体"/>
          <w:b w:val="0"/>
          <w:bCs w:val="0"/>
          <w:color w:val="auto"/>
          <w:spacing w:val="16"/>
          <w:sz w:val="32"/>
          <w:szCs w:val="32"/>
          <w:u w:val="none"/>
        </w:rPr>
        <w:t>教育培训机构</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教育和体育局牵头负责教育培训机构的安全监管，负责学科类校外培训机构、体育类校外培训机构、出国留学辅导类培训机构、职责范围内青少年夏令营（游学、研学、拓展）等活动的安全监管。区应急管理局负责安全生产培训机构的安全监管。区人力资源和社会保障局负责职业技能培训机构的安全监管。区消防救援大队负责对设在消防安全重点单位内的教育培训机构的安全监管。</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right="0" w:rightChars="0" w:firstLine="680" w:firstLineChars="200"/>
        <w:jc w:val="both"/>
        <w:textAlignment w:val="auto"/>
        <w:rPr>
          <w:rFonts w:hint="eastAsia" w:ascii="黑体" w:hAnsi="黑体" w:eastAsia="黑体" w:cs="黑体"/>
          <w:b w:val="0"/>
          <w:bCs w:val="0"/>
          <w:color w:val="auto"/>
          <w:spacing w:val="10"/>
          <w:sz w:val="32"/>
          <w:szCs w:val="32"/>
          <w:u w:val="none"/>
          <w:lang w:val="en-US" w:eastAsia="zh-CN"/>
        </w:rPr>
      </w:pPr>
      <w:r>
        <w:rPr>
          <w:rFonts w:hint="eastAsia" w:ascii="黑体" w:hAnsi="黑体" w:eastAsia="黑体" w:cs="黑体"/>
          <w:b w:val="0"/>
          <w:bCs w:val="0"/>
          <w:color w:val="auto"/>
          <w:spacing w:val="10"/>
          <w:sz w:val="32"/>
          <w:szCs w:val="32"/>
          <w:u w:val="none"/>
          <w:lang w:val="en-US" w:eastAsia="zh-CN"/>
        </w:rPr>
        <w:t>十、托育机构</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区卫生健康局负责托育机构的安全监管。市场监管、消防救援等部门按照各自职责做好安全监管工作。</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right="0" w:rightChars="0" w:firstLine="680" w:firstLineChars="200"/>
        <w:jc w:val="both"/>
        <w:textAlignment w:val="auto"/>
        <w:rPr>
          <w:rFonts w:hint="eastAsia" w:ascii="黑体" w:hAnsi="黑体" w:eastAsia="黑体" w:cs="黑体"/>
          <w:b w:val="0"/>
          <w:bCs w:val="0"/>
          <w:color w:val="auto"/>
          <w:spacing w:val="10"/>
          <w:sz w:val="32"/>
          <w:szCs w:val="32"/>
          <w:u w:val="none"/>
          <w:lang w:eastAsia="zh-CN"/>
        </w:rPr>
      </w:pPr>
      <w:r>
        <w:rPr>
          <w:rFonts w:hint="eastAsia" w:ascii="黑体" w:hAnsi="黑体" w:eastAsia="黑体" w:cs="黑体"/>
          <w:b w:val="0"/>
          <w:bCs w:val="0"/>
          <w:color w:val="auto"/>
          <w:spacing w:val="10"/>
          <w:sz w:val="32"/>
          <w:szCs w:val="32"/>
          <w:u w:val="none"/>
          <w:lang w:eastAsia="zh-CN"/>
        </w:rPr>
        <w:t>十一、</w:t>
      </w:r>
      <w:r>
        <w:rPr>
          <w:rFonts w:hint="eastAsia" w:ascii="黑体" w:hAnsi="黑体" w:eastAsia="黑体" w:cs="黑体"/>
          <w:b w:val="0"/>
          <w:bCs w:val="0"/>
          <w:color w:val="auto"/>
          <w:spacing w:val="10"/>
          <w:sz w:val="32"/>
          <w:szCs w:val="32"/>
          <w:u w:val="none"/>
        </w:rPr>
        <w:t>医养结合机构</w:t>
      </w:r>
      <w:r>
        <w:rPr>
          <w:rFonts w:hint="eastAsia" w:ascii="黑体" w:hAnsi="黑体" w:eastAsia="黑体" w:cs="黑体"/>
          <w:b w:val="0"/>
          <w:bCs w:val="0"/>
          <w:color w:val="auto"/>
          <w:spacing w:val="10"/>
          <w:sz w:val="32"/>
          <w:szCs w:val="32"/>
          <w:u w:val="none"/>
          <w:lang w:eastAsia="zh-CN"/>
        </w:rPr>
        <w:t>、老年人集中供养场所</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民政局负责医养结合机构中养老机构（养老服务）的安全监管；负责老年人集中供养场所的安全监管。区卫生健康局负责医养结合机构中医疗机构（医疗服务）的安全监管。区消防救援大队依职责指导相关部门和单位场所落实消防安全管理责任，负责依法对消防安全重点单位内相关场所遵守消防法规、技术标准情况开展监督检查。</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right="0" w:rightChars="0" w:firstLine="704" w:firstLineChars="200"/>
        <w:jc w:val="both"/>
        <w:textAlignment w:val="auto"/>
        <w:rPr>
          <w:rFonts w:hint="eastAsia" w:ascii="黑体" w:hAnsi="黑体" w:eastAsia="黑体" w:cs="黑体"/>
          <w:b w:val="0"/>
          <w:bCs w:val="0"/>
          <w:color w:val="auto"/>
          <w:spacing w:val="16"/>
          <w:sz w:val="32"/>
          <w:szCs w:val="32"/>
          <w:u w:val="none"/>
        </w:rPr>
      </w:pPr>
      <w:r>
        <w:rPr>
          <w:rFonts w:hint="eastAsia" w:ascii="黑体" w:hAnsi="黑体" w:eastAsia="黑体" w:cs="黑体"/>
          <w:b w:val="0"/>
          <w:bCs w:val="0"/>
          <w:color w:val="auto"/>
          <w:spacing w:val="16"/>
          <w:sz w:val="32"/>
          <w:szCs w:val="32"/>
          <w:u w:val="none"/>
          <w:lang w:eastAsia="zh-CN"/>
        </w:rPr>
        <w:t>十二、</w:t>
      </w:r>
      <w:r>
        <w:rPr>
          <w:rFonts w:hint="eastAsia" w:ascii="黑体" w:hAnsi="黑体" w:eastAsia="黑体" w:cs="黑体"/>
          <w:b w:val="0"/>
          <w:bCs w:val="0"/>
          <w:color w:val="auto"/>
          <w:spacing w:val="16"/>
          <w:sz w:val="32"/>
          <w:szCs w:val="32"/>
          <w:u w:val="none"/>
        </w:rPr>
        <w:t>仓储物流</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区交通运输局牵头负责仓储物流的安全监管。区商务局负责商贸仓储流通领域的安全监管。</w:t>
      </w:r>
      <w:r>
        <w:rPr>
          <w:rFonts w:hint="eastAsia" w:ascii="仿宋" w:hAnsi="仿宋" w:eastAsia="仿宋" w:cs="仿宋"/>
          <w:b w:val="0"/>
          <w:bCs w:val="0"/>
          <w:color w:val="auto"/>
          <w:spacing w:val="5"/>
          <w:sz w:val="32"/>
          <w:szCs w:val="32"/>
          <w:u w:val="none"/>
        </w:rPr>
        <w:t>邮政</w:t>
      </w:r>
      <w:r>
        <w:rPr>
          <w:rFonts w:hint="eastAsia" w:ascii="仿宋" w:hAnsi="仿宋" w:eastAsia="仿宋" w:cs="仿宋"/>
          <w:b w:val="0"/>
          <w:bCs w:val="0"/>
          <w:color w:val="auto"/>
          <w:spacing w:val="5"/>
          <w:sz w:val="32"/>
          <w:szCs w:val="32"/>
          <w:u w:val="none"/>
          <w:lang w:eastAsia="zh-CN"/>
        </w:rPr>
        <w:t>管理</w:t>
      </w:r>
      <w:r>
        <w:rPr>
          <w:rFonts w:hint="eastAsia" w:ascii="仿宋" w:hAnsi="仿宋" w:eastAsia="仿宋" w:cs="仿宋"/>
          <w:b w:val="0"/>
          <w:bCs w:val="0"/>
          <w:color w:val="auto"/>
          <w:spacing w:val="5"/>
          <w:sz w:val="32"/>
          <w:szCs w:val="32"/>
          <w:u w:val="none"/>
        </w:rPr>
        <w:t>部门</w:t>
      </w:r>
      <w:r>
        <w:rPr>
          <w:rFonts w:hint="eastAsia" w:ascii="仿宋" w:hAnsi="仿宋" w:eastAsia="仿宋" w:cs="仿宋"/>
          <w:color w:val="auto"/>
          <w:spacing w:val="5"/>
          <w:sz w:val="32"/>
          <w:szCs w:val="32"/>
          <w:u w:val="none"/>
        </w:rPr>
        <w:t>负</w:t>
      </w:r>
      <w:r>
        <w:rPr>
          <w:rFonts w:hint="eastAsia" w:ascii="仿宋" w:hAnsi="仿宋" w:eastAsia="仿宋" w:cs="仿宋"/>
          <w:color w:val="auto"/>
          <w:spacing w:val="10"/>
          <w:sz w:val="32"/>
          <w:szCs w:val="32"/>
          <w:u w:val="none"/>
        </w:rPr>
        <w:t>责邮</w:t>
      </w:r>
      <w:r>
        <w:rPr>
          <w:rFonts w:hint="eastAsia" w:ascii="仿宋" w:hAnsi="仿宋" w:eastAsia="仿宋" w:cs="仿宋"/>
          <w:color w:val="auto"/>
          <w:spacing w:val="6"/>
          <w:sz w:val="32"/>
          <w:szCs w:val="32"/>
          <w:u w:val="none"/>
        </w:rPr>
        <w:t>政</w:t>
      </w:r>
      <w:r>
        <w:rPr>
          <w:rFonts w:hint="eastAsia" w:ascii="仿宋" w:hAnsi="仿宋" w:eastAsia="仿宋" w:cs="仿宋"/>
          <w:color w:val="auto"/>
          <w:spacing w:val="5"/>
          <w:sz w:val="32"/>
          <w:szCs w:val="32"/>
          <w:u w:val="none"/>
        </w:rPr>
        <w:t>快递领域的安全监管。</w:t>
      </w:r>
      <w:r>
        <w:rPr>
          <w:rFonts w:hint="eastAsia" w:ascii="仿宋_GB2312" w:hAnsi="仿宋_GB2312" w:eastAsia="仿宋_GB2312" w:cs="仿宋_GB2312"/>
          <w:b w:val="0"/>
          <w:bCs w:val="0"/>
          <w:color w:val="auto"/>
          <w:kern w:val="0"/>
          <w:sz w:val="32"/>
          <w:szCs w:val="32"/>
          <w:u w:val="none"/>
          <w:lang w:val="en-US" w:eastAsia="zh-CN" w:bidi="ar-SA"/>
        </w:rPr>
        <w:t>区农业农村局负责农产品初加工领域的安全监管。区发展和改革局负责粮食流通领域的安全监管。</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right="0" w:rightChars="0" w:firstLine="672" w:firstLineChars="200"/>
        <w:jc w:val="both"/>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pacing w:val="8"/>
          <w:sz w:val="32"/>
          <w:szCs w:val="32"/>
          <w:u w:val="none"/>
          <w:lang w:eastAsia="zh-CN"/>
        </w:rPr>
        <w:t>十三、</w:t>
      </w:r>
      <w:r>
        <w:rPr>
          <w:rFonts w:hint="eastAsia" w:ascii="黑体" w:hAnsi="黑体" w:eastAsia="黑体" w:cs="黑体"/>
          <w:b w:val="0"/>
          <w:bCs w:val="0"/>
          <w:color w:val="auto"/>
          <w:spacing w:val="8"/>
          <w:sz w:val="32"/>
          <w:szCs w:val="32"/>
          <w:u w:val="none"/>
        </w:rPr>
        <w:t>大型综合体</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商务局负责大型综合体的安全监管。区公安分局负责大型综合体内大型群众性活动的安全监管。区文化和旅游局负责大型综合体内KTV、网吧、电影放映等文化娱乐场所的安全监管。区教育和体育局负责大型综合体内休闲健身、攀岩场馆、滑冰场馆等高危运动场所的安全监管。区消防救援大队依职责指导相关部门和单位场所落实消防安全管理责任，负责依法对相关场所遵守消防法规、技术标准情况开展监督检查。</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firstLine="680" w:firstLineChars="200"/>
        <w:jc w:val="both"/>
        <w:textAlignment w:val="auto"/>
        <w:rPr>
          <w:rFonts w:hint="eastAsia" w:ascii="黑体" w:hAnsi="黑体" w:eastAsia="黑体" w:cs="黑体"/>
          <w:b w:val="0"/>
          <w:bCs w:val="0"/>
          <w:color w:val="auto"/>
          <w:spacing w:val="10"/>
          <w:sz w:val="32"/>
          <w:szCs w:val="32"/>
          <w:u w:val="none"/>
        </w:rPr>
      </w:pPr>
      <w:r>
        <w:rPr>
          <w:rFonts w:hint="eastAsia" w:ascii="黑体" w:hAnsi="黑体" w:eastAsia="黑体" w:cs="黑体"/>
          <w:b w:val="0"/>
          <w:bCs w:val="0"/>
          <w:color w:val="auto"/>
          <w:spacing w:val="10"/>
          <w:sz w:val="32"/>
          <w:szCs w:val="32"/>
          <w:u w:val="none"/>
          <w:lang w:eastAsia="zh-CN"/>
        </w:rPr>
        <w:t>十四、</w:t>
      </w:r>
      <w:r>
        <w:rPr>
          <w:rFonts w:hint="eastAsia" w:ascii="黑体" w:hAnsi="黑体" w:eastAsia="黑体" w:cs="黑体"/>
          <w:b w:val="0"/>
          <w:bCs w:val="0"/>
          <w:color w:val="auto"/>
          <w:spacing w:val="10"/>
          <w:sz w:val="32"/>
          <w:szCs w:val="32"/>
          <w:u w:val="none"/>
        </w:rPr>
        <w:t>平台经济</w:t>
      </w:r>
      <w:r>
        <w:rPr>
          <w:rFonts w:hint="eastAsia" w:ascii="黑体" w:hAnsi="黑体" w:eastAsia="黑体" w:cs="黑体"/>
          <w:b w:val="0"/>
          <w:bCs w:val="0"/>
          <w:color w:val="auto"/>
          <w:spacing w:val="10"/>
          <w:sz w:val="32"/>
          <w:szCs w:val="32"/>
          <w:u w:val="none"/>
          <w:lang w:eastAsia="zh-CN"/>
        </w:rPr>
        <w:t>（</w:t>
      </w:r>
      <w:r>
        <w:rPr>
          <w:rFonts w:hint="eastAsia" w:ascii="黑体" w:hAnsi="黑体" w:eastAsia="黑体" w:cs="黑体"/>
          <w:b w:val="0"/>
          <w:bCs w:val="0"/>
          <w:color w:val="auto"/>
          <w:spacing w:val="10"/>
          <w:sz w:val="32"/>
          <w:szCs w:val="32"/>
          <w:u w:val="none"/>
        </w:rPr>
        <w:t>外卖、网约车、货拉拉等</w:t>
      </w:r>
      <w:r>
        <w:rPr>
          <w:rFonts w:hint="eastAsia" w:ascii="黑体" w:hAnsi="黑体" w:eastAsia="黑体" w:cs="黑体"/>
          <w:b w:val="0"/>
          <w:bCs w:val="0"/>
          <w:color w:val="auto"/>
          <w:spacing w:val="10"/>
          <w:sz w:val="32"/>
          <w:szCs w:val="32"/>
          <w:u w:val="none"/>
          <w:lang w:eastAsia="zh-CN"/>
        </w:rPr>
        <w:t>）</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委网信办负责统筹协调全区网络数据安全和相关监管工作，协调行业主管部门做好行业平台数据安全工作，根据上级网信部门部署，落实网络数据安全风险评估、安全检查和应急处置工作。区公安分局承担平台经济网络安全监管，监督指导平台企业落实网络安全等级保护制度，防止发生网络安全事件。区商务局配合有关部门做好直播电商企业的安全生产管理工作，指导、督促企业落实安全生产责任。区人力资源和社会保障局落实安全生产职责任务，建立健全新业态劳动者社会保障机制，配合行业主管部门指导和督促企业依法合规用工。区住房和城乡建设局规范房地产市场、建筑市场等各方主体参与平台经济发展行为，推进实施安全生产守信联合激励和失信联合惩戒。区交通运输局按照《网络预约出租汽车经营服务管理暂行办法》《网络平台道路货物运输经营管理暂行办法》等有关规定，加强申请从事网约车、网络货运平台经营安全生产管理制度条件审核，并会同有关部门监督落实并进一步加强智慧监管。区文化和旅游局配合相关部门建立健全以在线旅游平台企业为核心的产业链监管机制，完善网络巡查、情况通报约谈警示等制度，推进在线旅游产品和服务标准建设，规范在线旅游市场秩序。配合相关部门维护通过在线旅游平台订票、订酒店、购买旅游产品游客的合法权益。负责规范在线经营旅行社业务行为。</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firstLine="680" w:firstLineChars="200"/>
        <w:jc w:val="both"/>
        <w:textAlignment w:val="auto"/>
        <w:rPr>
          <w:rFonts w:hint="eastAsia" w:ascii="黑体" w:hAnsi="黑体" w:eastAsia="黑体" w:cs="黑体"/>
          <w:b w:val="0"/>
          <w:bCs w:val="0"/>
          <w:color w:val="auto"/>
          <w:spacing w:val="10"/>
          <w:sz w:val="32"/>
          <w:szCs w:val="32"/>
          <w:u w:val="none"/>
        </w:rPr>
      </w:pPr>
      <w:r>
        <w:rPr>
          <w:rFonts w:hint="eastAsia" w:ascii="黑体" w:hAnsi="黑体" w:eastAsia="黑体" w:cs="黑体"/>
          <w:b w:val="0"/>
          <w:bCs w:val="0"/>
          <w:color w:val="auto"/>
          <w:spacing w:val="10"/>
          <w:sz w:val="32"/>
          <w:szCs w:val="32"/>
          <w:u w:val="none"/>
          <w:lang w:eastAsia="zh-CN"/>
        </w:rPr>
        <w:t>十五、</w:t>
      </w:r>
      <w:r>
        <w:rPr>
          <w:rFonts w:hint="eastAsia" w:ascii="黑体" w:hAnsi="黑体" w:eastAsia="黑体" w:cs="黑体"/>
          <w:b w:val="0"/>
          <w:bCs w:val="0"/>
          <w:color w:val="auto"/>
          <w:spacing w:val="10"/>
          <w:sz w:val="32"/>
          <w:szCs w:val="32"/>
          <w:u w:val="none"/>
        </w:rPr>
        <w:t>新能源汽车换</w:t>
      </w:r>
      <w:r>
        <w:rPr>
          <w:rFonts w:hint="eastAsia" w:ascii="黑体" w:hAnsi="黑体" w:eastAsia="黑体" w:cs="黑体"/>
          <w:b w:val="0"/>
          <w:bCs w:val="0"/>
          <w:color w:val="auto"/>
          <w:spacing w:val="10"/>
          <w:sz w:val="32"/>
          <w:szCs w:val="32"/>
          <w:u w:val="none"/>
          <w:lang w:eastAsia="zh-CN"/>
        </w:rPr>
        <w:t>（</w:t>
      </w:r>
      <w:r>
        <w:rPr>
          <w:rFonts w:hint="eastAsia" w:ascii="黑体" w:hAnsi="黑体" w:eastAsia="黑体" w:cs="黑体"/>
          <w:b w:val="0"/>
          <w:bCs w:val="0"/>
          <w:color w:val="auto"/>
          <w:spacing w:val="10"/>
          <w:sz w:val="32"/>
          <w:szCs w:val="32"/>
          <w:u w:val="none"/>
        </w:rPr>
        <w:t>充</w:t>
      </w:r>
      <w:r>
        <w:rPr>
          <w:rFonts w:hint="eastAsia" w:ascii="黑体" w:hAnsi="黑体" w:eastAsia="黑体" w:cs="黑体"/>
          <w:b w:val="0"/>
          <w:bCs w:val="0"/>
          <w:color w:val="auto"/>
          <w:spacing w:val="10"/>
          <w:sz w:val="32"/>
          <w:szCs w:val="32"/>
          <w:u w:val="none"/>
          <w:lang w:eastAsia="zh-CN"/>
        </w:rPr>
        <w:t>）</w:t>
      </w:r>
      <w:r>
        <w:rPr>
          <w:rFonts w:hint="eastAsia" w:ascii="黑体" w:hAnsi="黑体" w:eastAsia="黑体" w:cs="黑体"/>
          <w:b w:val="0"/>
          <w:bCs w:val="0"/>
          <w:color w:val="auto"/>
          <w:spacing w:val="10"/>
          <w:sz w:val="32"/>
          <w:szCs w:val="32"/>
          <w:u w:val="none"/>
        </w:rPr>
        <w:t>电站及移动充电站</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区发展和改革局负责对电网企业投资建设、运营的换（充）电站及移动充电站进行安全监督管理。区综合行政执法局负责城市社区物业管理的住宅小区内电动自行车和既有停车位改造充电设施的安全监管。</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60" w:firstLineChars="200"/>
        <w:jc w:val="both"/>
        <w:textAlignment w:val="auto"/>
        <w:rPr>
          <w:rFonts w:hint="eastAsia" w:ascii="黑体" w:hAnsi="黑体" w:eastAsia="黑体" w:cs="黑体"/>
          <w:b w:val="0"/>
          <w:bCs w:val="0"/>
          <w:color w:val="auto"/>
          <w:spacing w:val="5"/>
          <w:kern w:val="0"/>
          <w:sz w:val="32"/>
          <w:szCs w:val="32"/>
          <w:u w:val="none"/>
          <w:lang w:val="en-US" w:eastAsia="zh-CN"/>
        </w:rPr>
      </w:pPr>
      <w:r>
        <w:rPr>
          <w:rFonts w:hint="eastAsia" w:ascii="黑体" w:hAnsi="黑体" w:eastAsia="黑体" w:cs="黑体"/>
          <w:b w:val="0"/>
          <w:bCs w:val="0"/>
          <w:color w:val="auto"/>
          <w:spacing w:val="5"/>
          <w:kern w:val="0"/>
          <w:sz w:val="32"/>
          <w:szCs w:val="32"/>
          <w:u w:val="none"/>
          <w:lang w:val="en-US" w:eastAsia="zh-CN"/>
        </w:rPr>
        <w:t>十六、光伏发电、储能电站</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区发展和改革局负责集中式光伏电站、储能电站的安全监管。</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right="0" w:rightChars="0" w:firstLine="660" w:firstLineChars="200"/>
        <w:jc w:val="both"/>
        <w:textAlignment w:val="auto"/>
        <w:rPr>
          <w:rFonts w:hint="eastAsia" w:ascii="仿宋" w:hAnsi="仿宋" w:eastAsia="仿宋" w:cs="仿宋"/>
          <w:b w:val="0"/>
          <w:bCs w:val="0"/>
          <w:color w:val="auto"/>
          <w:spacing w:val="5"/>
          <w:sz w:val="32"/>
          <w:szCs w:val="32"/>
          <w:u w:val="none"/>
        </w:rPr>
      </w:pPr>
      <w:r>
        <w:rPr>
          <w:rFonts w:hint="eastAsia" w:ascii="黑体" w:hAnsi="黑体" w:eastAsia="黑体" w:cs="黑体"/>
          <w:b w:val="0"/>
          <w:bCs w:val="0"/>
          <w:color w:val="auto"/>
          <w:spacing w:val="5"/>
          <w:kern w:val="0"/>
          <w:sz w:val="32"/>
          <w:szCs w:val="32"/>
          <w:u w:val="none"/>
        </w:rPr>
        <w:t>十</w:t>
      </w:r>
      <w:r>
        <w:rPr>
          <w:rFonts w:hint="eastAsia" w:ascii="黑体" w:hAnsi="黑体" w:eastAsia="黑体" w:cs="黑体"/>
          <w:b w:val="0"/>
          <w:bCs w:val="0"/>
          <w:color w:val="auto"/>
          <w:spacing w:val="5"/>
          <w:kern w:val="0"/>
          <w:sz w:val="32"/>
          <w:szCs w:val="32"/>
          <w:u w:val="none"/>
          <w:lang w:eastAsia="zh-CN"/>
        </w:rPr>
        <w:t>七</w:t>
      </w:r>
      <w:r>
        <w:rPr>
          <w:rFonts w:hint="eastAsia" w:ascii="黑体" w:hAnsi="黑体" w:eastAsia="黑体" w:cs="黑体"/>
          <w:b w:val="0"/>
          <w:bCs w:val="0"/>
          <w:color w:val="auto"/>
          <w:spacing w:val="5"/>
          <w:kern w:val="0"/>
          <w:sz w:val="32"/>
          <w:szCs w:val="32"/>
          <w:u w:val="none"/>
        </w:rPr>
        <w:t>、</w:t>
      </w:r>
      <w:r>
        <w:rPr>
          <w:rFonts w:hint="eastAsia" w:ascii="黑体" w:hAnsi="黑体" w:eastAsia="黑体" w:cs="黑体"/>
          <w:b w:val="0"/>
          <w:bCs w:val="0"/>
          <w:color w:val="auto"/>
          <w:spacing w:val="10"/>
          <w:sz w:val="32"/>
          <w:szCs w:val="32"/>
          <w:u w:val="none"/>
        </w:rPr>
        <w:t>科技孵化器、科技示范基地、加速器、科技成果转化</w:t>
      </w:r>
      <w:r>
        <w:rPr>
          <w:rFonts w:hint="eastAsia" w:ascii="黑体" w:hAnsi="黑体" w:eastAsia="黑体" w:cs="黑体"/>
          <w:b w:val="0"/>
          <w:bCs w:val="0"/>
          <w:color w:val="auto"/>
          <w:spacing w:val="7"/>
          <w:sz w:val="32"/>
          <w:szCs w:val="32"/>
          <w:u w:val="none"/>
        </w:rPr>
        <w:t>中</w:t>
      </w:r>
      <w:r>
        <w:rPr>
          <w:rFonts w:hint="eastAsia" w:ascii="黑体" w:hAnsi="黑体" w:eastAsia="黑体" w:cs="黑体"/>
          <w:b w:val="0"/>
          <w:bCs w:val="0"/>
          <w:color w:val="auto"/>
          <w:spacing w:val="5"/>
          <w:sz w:val="32"/>
          <w:szCs w:val="32"/>
          <w:u w:val="none"/>
        </w:rPr>
        <w:t>试基地等科技新业态</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科技局负责科技孵化器、科技示范基地、加速器、科技成果转化中试基地等科技新业态的安全监管。区消防救援大队依职责指导相关部门和单位场所落实消防安全管理责任，负责依法对相关场所遵守消防法规、技术标准情况开展指导检查。</w:t>
      </w:r>
    </w:p>
    <w:p>
      <w:pPr>
        <w:keepNext w:val="0"/>
        <w:keepLines w:val="0"/>
        <w:pageBreakBefore w:val="0"/>
        <w:widowControl/>
        <w:kinsoku/>
        <w:wordWrap/>
        <w:overflowPunct/>
        <w:topLinePunct w:val="0"/>
        <w:autoSpaceDE/>
        <w:autoSpaceDN/>
        <w:bidi w:val="0"/>
        <w:adjustRightInd/>
        <w:snapToGrid/>
        <w:spacing w:line="576" w:lineRule="exact"/>
        <w:ind w:right="0" w:firstLine="680" w:firstLineChars="200"/>
        <w:jc w:val="both"/>
        <w:textAlignment w:val="auto"/>
        <w:rPr>
          <w:rFonts w:hint="eastAsia" w:ascii="黑体" w:hAnsi="黑体" w:eastAsia="黑体" w:cs="黑体"/>
          <w:b w:val="0"/>
          <w:bCs w:val="0"/>
          <w:color w:val="auto"/>
          <w:spacing w:val="10"/>
          <w:sz w:val="32"/>
          <w:szCs w:val="32"/>
          <w:u w:val="none"/>
        </w:rPr>
      </w:pPr>
      <w:r>
        <w:rPr>
          <w:rFonts w:hint="eastAsia" w:ascii="黑体" w:hAnsi="黑体" w:eastAsia="黑体" w:cs="黑体"/>
          <w:b w:val="0"/>
          <w:bCs w:val="0"/>
          <w:color w:val="auto"/>
          <w:spacing w:val="10"/>
          <w:sz w:val="32"/>
          <w:szCs w:val="32"/>
          <w:u w:val="none"/>
          <w:lang w:eastAsia="zh-CN"/>
        </w:rPr>
        <w:t>十八、</w:t>
      </w:r>
      <w:r>
        <w:rPr>
          <w:rFonts w:hint="eastAsia" w:ascii="黑体" w:hAnsi="黑体" w:eastAsia="黑体" w:cs="黑体"/>
          <w:b w:val="0"/>
          <w:bCs w:val="0"/>
          <w:color w:val="auto"/>
          <w:spacing w:val="10"/>
          <w:sz w:val="32"/>
          <w:szCs w:val="32"/>
          <w:u w:val="none"/>
        </w:rPr>
        <w:t>电动自行车</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工业和信息化局负责电动自行（摩托）车生产的行业监管，负责摸清电动自行（摩托）车生产情况。区应急管理局负责电动自行（摩托）车生产企业的安全监管。区市场监督管理局负责电动自行（摩托）车销售流通领域安全监管，依法查处生产、销售不合格电动自行（摩托）车及配件等违法违规行为。区交警大队负责电动自行（摩托）车道路交通安全监管。区规划管理办公室负责将新建项目电动自行（摩托）车集中停放区域及充电设施配建的要求纳入规划条件之中。区住房和城乡建设局负责在新建项目、城镇老旧小区改造项目中足额配建电动自行（摩托）车停放场所和充电桩等设施，为电动自行（摩托）车规范管理奠定基础。区综合行政执法局和所在辖区镇（街道）负责对具备电动自行（摩托）车规范管理条件的场所，城市社区、住宅小区进行安全监管，逐步杜绝“飞线”充电、占用公共空间等违法违规行为。区公安分局、区消防救援大队按照职责做好安全监管工作。</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716" w:firstLineChars="200"/>
        <w:jc w:val="both"/>
        <w:textAlignment w:val="auto"/>
        <w:rPr>
          <w:rFonts w:hint="eastAsia" w:ascii="黑体" w:hAnsi="黑体" w:eastAsia="黑体" w:cs="黑体"/>
          <w:b w:val="0"/>
          <w:bCs w:val="0"/>
          <w:color w:val="auto"/>
          <w:spacing w:val="16"/>
          <w:sz w:val="32"/>
          <w:szCs w:val="32"/>
          <w:u w:val="none"/>
        </w:rPr>
      </w:pPr>
      <w:r>
        <w:rPr>
          <w:rFonts w:hint="eastAsia" w:ascii="黑体" w:hAnsi="黑体" w:eastAsia="黑体" w:cs="黑体"/>
          <w:b w:val="0"/>
          <w:bCs w:val="0"/>
          <w:color w:val="auto"/>
          <w:spacing w:val="19"/>
          <w:sz w:val="32"/>
          <w:szCs w:val="32"/>
          <w:u w:val="none"/>
          <w:lang w:eastAsia="zh-CN"/>
        </w:rPr>
        <w:t>十九</w:t>
      </w:r>
      <w:r>
        <w:rPr>
          <w:rFonts w:hint="eastAsia" w:ascii="黑体" w:hAnsi="黑体" w:eastAsia="黑体" w:cs="黑体"/>
          <w:b w:val="0"/>
          <w:bCs w:val="0"/>
          <w:color w:val="auto"/>
          <w:spacing w:val="16"/>
          <w:sz w:val="32"/>
          <w:szCs w:val="32"/>
          <w:u w:val="none"/>
          <w:lang w:eastAsia="zh-CN"/>
        </w:rPr>
        <w:t>、</w:t>
      </w:r>
      <w:r>
        <w:rPr>
          <w:rFonts w:hint="eastAsia" w:ascii="黑体" w:hAnsi="黑体" w:eastAsia="黑体" w:cs="黑体"/>
          <w:b w:val="0"/>
          <w:bCs w:val="0"/>
          <w:color w:val="auto"/>
          <w:spacing w:val="16"/>
          <w:sz w:val="32"/>
          <w:szCs w:val="32"/>
          <w:u w:val="none"/>
        </w:rPr>
        <w:t>醇基燃料</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应急管理局负责属于醇基燃料生产企业的安全监管。区商务局负责商场、餐饮、住宿等商贸服务业醇基燃料使用安全工作，做好醇基燃料安全使用宣传教育。区交警大队负责醇基燃料运输车辆的道路交通安全监管。区交通运输局负责醇基燃料运输车辆的道路运输安全监管。区市场监督管理局负责生产、销售环节产品质量监督管理，依法查处无照经营醇基燃料等违法行为，依法查处生产、销售不合格产品的违法行为。教体、民政、农业农村、文化和旅游、卫生健康等部门依据各自职能职责，对使用醇基燃料的相关行业和单位实施监督管理。对醇基燃料中涉及危险化学品的，各职能部门按照《危险化学品安全管理条例》相关规定履行安全监管职责。</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32" w:firstLineChars="200"/>
        <w:jc w:val="both"/>
        <w:textAlignment w:val="auto"/>
        <w:rPr>
          <w:rFonts w:hint="eastAsia" w:ascii="黑体" w:hAnsi="黑体" w:eastAsia="黑体" w:cs="黑体"/>
          <w:b w:val="0"/>
          <w:bCs w:val="0"/>
          <w:color w:val="auto"/>
          <w:spacing w:val="-2"/>
          <w:sz w:val="32"/>
          <w:szCs w:val="32"/>
          <w:highlight w:val="none"/>
          <w:u w:val="none"/>
          <w:lang w:val="en-US" w:eastAsia="zh-CN"/>
        </w:rPr>
      </w:pPr>
      <w:r>
        <w:rPr>
          <w:rFonts w:hint="eastAsia" w:ascii="黑体" w:hAnsi="黑体" w:eastAsia="黑体" w:cs="黑体"/>
          <w:b w:val="0"/>
          <w:bCs w:val="0"/>
          <w:color w:val="auto"/>
          <w:spacing w:val="-2"/>
          <w:sz w:val="32"/>
          <w:szCs w:val="32"/>
          <w:highlight w:val="none"/>
          <w:u w:val="none"/>
          <w:lang w:val="en-US" w:eastAsia="zh-CN"/>
        </w:rPr>
        <w:t>二十、</w:t>
      </w:r>
      <w:r>
        <w:rPr>
          <w:rFonts w:hint="eastAsia" w:ascii="黑体" w:hAnsi="黑体" w:eastAsia="黑体" w:cs="黑体"/>
          <w:b w:val="0"/>
          <w:bCs w:val="0"/>
          <w:color w:val="auto"/>
          <w:spacing w:val="-2"/>
          <w:sz w:val="32"/>
          <w:szCs w:val="32"/>
          <w:highlight w:val="none"/>
          <w:u w:val="none"/>
          <w:lang w:eastAsia="zh-CN"/>
        </w:rPr>
        <w:t>露营基地</w:t>
      </w:r>
    </w:p>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u w:val="none"/>
          <w:lang w:val="en-US" w:eastAsia="zh-CN" w:bidi="ar-SA"/>
        </w:rPr>
      </w:pPr>
      <w:r>
        <w:rPr>
          <w:rFonts w:hint="eastAsia" w:ascii="仿宋_GB2312" w:hAnsi="仿宋_GB2312" w:eastAsia="仿宋_GB2312" w:cs="仿宋_GB2312"/>
          <w:b w:val="0"/>
          <w:bCs w:val="0"/>
          <w:color w:val="auto"/>
          <w:kern w:val="0"/>
          <w:sz w:val="32"/>
          <w:szCs w:val="32"/>
          <w:u w:val="none"/>
          <w:lang w:val="en-US" w:eastAsia="zh-CN" w:bidi="ar-SA"/>
        </w:rPr>
        <w:t>区文化和旅游局负责露营基地的安全综合监管，牵头制定博山区露营基地分级分类监管方案，组织相关镇（街道）、部门对露营基地开展安全监管。公安、住建、商务、市场监管、综合执法、消防救援、规划等部门按照各自职责做好安全监管工作。</w:t>
      </w:r>
    </w:p>
    <w:tbl>
      <w:tblPr>
        <w:tblStyle w:val="11"/>
        <w:tblpPr w:leftFromText="181" w:rightFromText="181" w:horzAnchor="margin" w:tblpXSpec="center" w:tblpYSpec="bottom"/>
        <w:tblW w:w="0" w:type="auto"/>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87"/>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287" w:type="dxa"/>
            <w:noWrap w:val="0"/>
            <w:vAlign w:val="center"/>
          </w:tcPr>
          <w:p>
            <w:pPr>
              <w:widowControl w:val="0"/>
              <w:ind w:left="0" w:leftChars="0" w:firstLine="0" w:firstLineChars="0"/>
              <w:jc w:val="center"/>
              <w:rPr>
                <w:rFonts w:hint="default" w:ascii="Times New Roman" w:hAnsi="Times New Roman" w:eastAsia="仿宋_GB2312" w:cs="Times New Roman"/>
                <w:bdr w:val="single" w:color="auto" w:sz="8" w:space="0"/>
                <w:lang w:val="en-US" w:eastAsia="zh-CN"/>
              </w:rPr>
            </w:pPr>
            <w:r>
              <w:rPr>
                <w:rFonts w:hint="default" w:ascii="Times New Roman" w:hAnsi="Times New Roman" w:eastAsia="仿宋_GB2312" w:cs="Times New Roman"/>
                <w:sz w:val="28"/>
                <w:szCs w:val="28"/>
              </w:rPr>
              <w:t xml:space="preserve">博山区人民政府办公室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eastAsia" w:ascii="仿宋_GB2312" w:hAnsi="仿宋_GB2312" w:eastAsia="仿宋_GB2312" w:cs="仿宋_GB2312"/>
                <w:sz w:val="28"/>
                <w:szCs w:val="28"/>
                <w:lang w:eastAsia="zh-CN"/>
              </w:rPr>
              <w:t>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8月22</w:t>
            </w:r>
            <w:bookmarkStart w:id="0" w:name="_GoBack"/>
            <w:bookmarkEnd w:id="0"/>
            <w:r>
              <w:rPr>
                <w:rFonts w:hint="eastAsia" w:ascii="仿宋_GB2312" w:hAnsi="仿宋_GB2312" w:eastAsia="仿宋_GB2312" w:cs="仿宋_GB2312"/>
                <w:sz w:val="28"/>
                <w:szCs w:val="28"/>
              </w:rPr>
              <w:t>日印</w:t>
            </w:r>
            <w:r>
              <w:rPr>
                <w:rFonts w:hint="default" w:ascii="Times New Roman" w:hAnsi="Times New Roman" w:eastAsia="仿宋_GB2312" w:cs="Times New Roman"/>
                <w:sz w:val="28"/>
                <w:szCs w:val="28"/>
              </w:rPr>
              <w:t>发</w:t>
            </w:r>
          </w:p>
        </w:tc>
      </w:tr>
    </w:tbl>
    <w:p>
      <w:pPr>
        <w:keepNext w:val="0"/>
        <w:keepLines w:val="0"/>
        <w:pageBreakBefore w:val="0"/>
        <w:widowControl/>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楷体" w:hAnsi="楷体" w:eastAsia="楷体" w:cs="楷体"/>
          <w:b w:val="0"/>
          <w:bCs w:val="0"/>
          <w:color w:val="auto"/>
          <w:kern w:val="0"/>
          <w:sz w:val="32"/>
          <w:szCs w:val="32"/>
          <w:u w:val="none"/>
          <w:lang w:val="en-US" w:eastAsia="zh-CN" w:bidi="zh-CN"/>
        </w:rPr>
      </w:pPr>
    </w:p>
    <w:sectPr>
      <w:footerReference r:id="rId5" w:type="default"/>
      <w:pgSz w:w="11860" w:h="16860"/>
      <w:pgMar w:top="2098" w:right="1474" w:bottom="1984" w:left="1587" w:header="0" w:footer="1134" w:gutter="0"/>
      <w:pgNumType w:fmt="decimal"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2312">
    <w:altName w:val="方正仿宋_GBK"/>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eastAsia="宋体"/>
        <w:sz w:val="28"/>
        <w:szCs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eastAsia="宋体"/>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r>
                            <w:rPr>
                              <w:rFonts w:hint="eastAsia" w:eastAsia="宋体"/>
                              <w:sz w:val="28"/>
                              <w:szCs w:val="28"/>
                              <w:lang w:val="en-US"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rPr>
                        <w:rFonts w:hint="eastAsia" w:eastAsia="宋体"/>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r>
                      <w:rPr>
                        <w:rFonts w:hint="eastAsia" w:eastAsia="宋体"/>
                        <w:sz w:val="28"/>
                        <w:szCs w:val="28"/>
                        <w:lang w:val="en-US" w:eastAsia="zh-CN"/>
                      </w:rPr>
                      <w:t>—</w:t>
                    </w:r>
                  </w:p>
                </w:txbxContent>
              </v:textbox>
            </v:shape>
          </w:pict>
        </mc:Fallback>
      </mc:AlternateContent>
    </w:r>
  </w:p>
  <w:p>
    <w:pPr>
      <w:spacing w:before="1" w:line="183" w:lineRule="auto"/>
      <w:ind w:left="19"/>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11C47B"/>
    <w:multiLevelType w:val="singleLevel"/>
    <w:tmpl w:val="C411C47B"/>
    <w:lvl w:ilvl="0" w:tentative="0">
      <w:start w:val="4"/>
      <w:numFmt w:val="chineseCounting"/>
      <w:suff w:val="nothing"/>
      <w:lvlText w:val="%1、"/>
      <w:lvlJc w:val="left"/>
      <w:rPr>
        <w:rFonts w:hint="eastAsia"/>
      </w:rPr>
    </w:lvl>
  </w:abstractNum>
  <w:abstractNum w:abstractNumId="1">
    <w:nsid w:val="0455905F"/>
    <w:multiLevelType w:val="singleLevel"/>
    <w:tmpl w:val="0455905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DNiYWE5YmExNWRkODA4Y2VlMzQ2NzkxYWY1MDllZDgifQ=="/>
  </w:docVars>
  <w:rsids>
    <w:rsidRoot w:val="00172A27"/>
    <w:rsid w:val="08595350"/>
    <w:rsid w:val="091D11B6"/>
    <w:rsid w:val="0B92481F"/>
    <w:rsid w:val="14033B2F"/>
    <w:rsid w:val="165C00F6"/>
    <w:rsid w:val="169A00ED"/>
    <w:rsid w:val="272F41D4"/>
    <w:rsid w:val="294361DC"/>
    <w:rsid w:val="2EA03025"/>
    <w:rsid w:val="307D0225"/>
    <w:rsid w:val="32072B96"/>
    <w:rsid w:val="3CBF0777"/>
    <w:rsid w:val="3ECD00CC"/>
    <w:rsid w:val="3F057D64"/>
    <w:rsid w:val="475B621A"/>
    <w:rsid w:val="492665E2"/>
    <w:rsid w:val="4D176F21"/>
    <w:rsid w:val="4F4B4F0B"/>
    <w:rsid w:val="4F7D5650"/>
    <w:rsid w:val="521A1391"/>
    <w:rsid w:val="53915C12"/>
    <w:rsid w:val="57B72AEF"/>
    <w:rsid w:val="5BE865EB"/>
    <w:rsid w:val="67814362"/>
    <w:rsid w:val="6BA86DB0"/>
    <w:rsid w:val="6F3E2294"/>
    <w:rsid w:val="70930473"/>
    <w:rsid w:val="70A96AD3"/>
    <w:rsid w:val="779E9E6D"/>
    <w:rsid w:val="78EA70A7"/>
    <w:rsid w:val="7CC77E2B"/>
    <w:rsid w:val="7F142D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hint="eastAsia"/>
      <w:sz w:val="28"/>
    </w:rPr>
  </w:style>
  <w:style w:type="paragraph" w:styleId="3">
    <w:name w:val="Normal Indent"/>
    <w:basedOn w:val="1"/>
    <w:unhideWhenUsed/>
    <w:qFormat/>
    <w:uiPriority w:val="99"/>
    <w:pPr>
      <w:ind w:firstLine="420" w:firstLineChars="200"/>
    </w:pPr>
  </w:style>
  <w:style w:type="paragraph" w:styleId="4">
    <w:name w:val="Body Text Indent"/>
    <w:basedOn w:val="1"/>
    <w:next w:val="3"/>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Title"/>
    <w:basedOn w:val="1"/>
    <w:qFormat/>
    <w:uiPriority w:val="0"/>
    <w:pPr>
      <w:jc w:val="center"/>
      <w:outlineLvl w:val="0"/>
    </w:pPr>
    <w:rPr>
      <w:rFonts w:ascii="Arial" w:hAnsi="Arial" w:cs="Arial"/>
      <w:bCs/>
      <w:szCs w:val="32"/>
    </w:rPr>
  </w:style>
  <w:style w:type="paragraph" w:styleId="9">
    <w:name w:val="Body Text First Indent 2"/>
    <w:basedOn w:val="4"/>
    <w:qFormat/>
    <w:uiPriority w:val="99"/>
    <w:pPr>
      <w:spacing w:after="0"/>
      <w:ind w:left="0" w:leftChars="0" w:firstLine="420"/>
    </w:pPr>
    <w:rPr>
      <w:rFonts w:ascii="方正仿宋_GB2312"/>
      <w:szCs w:val="20"/>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样式 样式 左侧:  2 字符 + 左侧:  0.85 厘米 首行缩进:  2 字符1"/>
    <w:basedOn w:val="1"/>
    <w:qFormat/>
    <w:uiPriority w:val="0"/>
    <w:pPr>
      <w:ind w:left="482" w:firstLine="200" w:firstLineChars="200"/>
    </w:pPr>
    <w:rPr>
      <w:rFonts w:cs="宋体"/>
    </w:rPr>
  </w:style>
  <w:style w:type="paragraph" w:customStyle="1" w:styleId="15">
    <w:name w:val="BodyText"/>
    <w:basedOn w:val="1"/>
    <w:next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5602</Words>
  <Characters>5620</Characters>
  <TotalTime>64</TotalTime>
  <ScaleCrop>false</ScaleCrop>
  <LinksUpToDate>false</LinksUpToDate>
  <CharactersWithSpaces>5625</CharactersWithSpaces>
  <Application>WPS Office_11.8.2.10422_F1E327BC-269C-435d-A152-05C5408002CA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2023-04-13T17:15:00Z</dcterms:created>
  <dc:creator>Kingsoft-PDF</dc:creator>
  <cp:lastModifiedBy>user</cp:lastModifiedBy>
  <cp:lastPrinted>2023-08-23T14:43:00Z</cp:lastPrinted>
  <dcterms:modified xsi:type="dcterms:W3CDTF">2023-09-01T15:12:26Z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2023-04-13T09:15:35Z</vt:filetime>
  </property>
  <property fmtid="{D5CDD505-2E9C-101B-9397-08002B2CF9AE}" pid="4" name="UsrData">
    <vt:lpwstr>643757a9a2d7b00015926195</vt:lpwstr>
  </property>
  <property fmtid="{D5CDD505-2E9C-101B-9397-08002B2CF9AE}" pid="5" name="KSOProductBuildVer">
    <vt:lpwstr>2052-11.8.2.10422</vt:lpwstr>
  </property>
  <property fmtid="{D5CDD505-2E9C-101B-9397-08002B2CF9AE}" pid="6" name="ICV">
    <vt:lpwstr>B1912AA473684ABA9A0915D6FCAF6623_13</vt:lpwstr>
  </property>
</Properties>
</file>