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default" w:ascii="仿宋_GB2312" w:hAnsi="仿宋_GB2312" w:eastAsia="仿宋_GB2312" w:cs="Times New Roman"/>
          <w:sz w:val="32"/>
          <w:szCs w:val="32"/>
        </w:rPr>
      </w:pPr>
      <w:r>
        <w:rPr>
          <w:rFonts w:hint="eastAsia" w:ascii="仿宋_GB2312" w:hAnsi="仿宋_GB2312" w:eastAsia="仿宋_GB2312" w:cs="Times New Roman"/>
          <w:sz w:val="32"/>
          <w:szCs w:val="32"/>
          <w:lang w:val="en-US" w:eastAsia="zh-CN"/>
        </w:rPr>
        <w:t>博</w:t>
      </w:r>
      <w:r>
        <w:rPr>
          <w:rFonts w:hint="default" w:ascii="仿宋_GB2312" w:hAnsi="仿宋_GB2312" w:eastAsia="仿宋_GB2312" w:cs="Times New Roman"/>
          <w:sz w:val="32"/>
          <w:szCs w:val="32"/>
        </w:rPr>
        <w:t>政办字〔2021〕</w:t>
      </w:r>
      <w:r>
        <w:rPr>
          <w:rFonts w:hint="eastAsia" w:ascii="仿宋_GB2312" w:hAnsi="仿宋_GB2312" w:eastAsia="仿宋_GB2312" w:cs="Times New Roman"/>
          <w:sz w:val="32"/>
          <w:szCs w:val="32"/>
          <w:lang w:val="en-US" w:eastAsia="zh-CN"/>
        </w:rPr>
        <w:t>43</w:t>
      </w:r>
      <w:r>
        <w:rPr>
          <w:rFonts w:hint="default" w:ascii="仿宋_GB2312" w:hAnsi="仿宋_GB2312" w:eastAsia="仿宋_GB2312" w:cs="Times New Roman"/>
          <w:sz w:val="32"/>
          <w:szCs w:val="32"/>
        </w:rPr>
        <w:t>号</w:t>
      </w:r>
    </w:p>
    <w:p>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rFonts w:hint="eastAsia" w:ascii="仿宋_GB2312" w:hAnsi="仿宋_GB2312" w:eastAsia="方正小标宋简体" w:cs="方正小标宋简体"/>
          <w:color w:val="000000"/>
          <w:kern w:val="0"/>
          <w:sz w:val="44"/>
          <w:szCs w:val="44"/>
          <w:highlight w:val="none"/>
          <w:lang w:val="en-US" w:eastAsia="zh-CN" w:bidi="ar"/>
        </w:rPr>
      </w:pPr>
      <w:r>
        <w:rPr>
          <w:rFonts w:hint="eastAsia" w:ascii="仿宋_GB2312" w:hAnsi="仿宋_GB2312" w:eastAsia="方正小标宋简体" w:cs="方正小标宋简体"/>
          <w:color w:val="000000"/>
          <w:kern w:val="0"/>
          <w:sz w:val="44"/>
          <w:szCs w:val="44"/>
          <w:highlight w:val="none"/>
          <w:lang w:val="en-US" w:eastAsia="zh-CN" w:bidi="ar"/>
        </w:rPr>
        <w:t>博山区人民政府办公室</w:t>
      </w:r>
    </w:p>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rFonts w:hint="eastAsia" w:ascii="仿宋_GB2312" w:hAnsi="仿宋_GB2312" w:eastAsia="方正小标宋简体" w:cs="方正小标宋简体"/>
          <w:color w:val="000000"/>
          <w:kern w:val="0"/>
          <w:sz w:val="44"/>
          <w:szCs w:val="44"/>
          <w:lang w:val="en-US" w:eastAsia="zh-CN" w:bidi="ar"/>
        </w:rPr>
      </w:pPr>
      <w:r>
        <w:rPr>
          <w:rFonts w:hint="eastAsia" w:ascii="仿宋_GB2312" w:hAnsi="仿宋_GB2312" w:eastAsia="方正小标宋简体" w:cs="方正小标宋简体"/>
          <w:color w:val="000000"/>
          <w:kern w:val="0"/>
          <w:sz w:val="44"/>
          <w:szCs w:val="44"/>
          <w:highlight w:val="none"/>
          <w:lang w:val="en-US" w:eastAsia="zh-CN" w:bidi="ar"/>
        </w:rPr>
        <w:t>关于印发博山区</w:t>
      </w:r>
      <w:r>
        <w:rPr>
          <w:rFonts w:hint="eastAsia" w:ascii="仿宋_GB2312" w:hAnsi="仿宋_GB2312" w:eastAsia="方正小标宋简体" w:cs="方正小标宋简体"/>
          <w:color w:val="000000"/>
          <w:kern w:val="0"/>
          <w:sz w:val="44"/>
          <w:szCs w:val="44"/>
          <w:lang w:val="en-US" w:eastAsia="zh-CN" w:bidi="ar"/>
        </w:rPr>
        <w:t>政务服务“双全双百”</w:t>
      </w:r>
    </w:p>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auto"/>
        <w:rPr>
          <w:rFonts w:hint="default" w:ascii="仿宋_GB2312" w:hAnsi="仿宋_GB2312" w:eastAsia="方正小标宋简体" w:cs="方正小标宋简体"/>
          <w:color w:val="000000"/>
          <w:kern w:val="0"/>
          <w:sz w:val="44"/>
          <w:szCs w:val="44"/>
          <w:lang w:val="en-US" w:eastAsia="zh-CN" w:bidi="ar"/>
        </w:rPr>
      </w:pPr>
      <w:r>
        <w:rPr>
          <w:rFonts w:hint="eastAsia" w:ascii="仿宋_GB2312" w:hAnsi="仿宋_GB2312" w:eastAsia="方正小标宋简体" w:cs="方正小标宋简体"/>
          <w:color w:val="000000"/>
          <w:kern w:val="0"/>
          <w:sz w:val="44"/>
          <w:szCs w:val="44"/>
          <w:lang w:val="en-US" w:eastAsia="zh-CN" w:bidi="ar"/>
        </w:rPr>
        <w:t>工程实施方案的通知</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default" w:ascii="仿宋_GB2312" w:hAnsi="仿宋_GB2312" w:eastAsia="仿宋_GB2312" w:cs="仿宋_GB2312"/>
          <w:color w:val="000000"/>
          <w:kern w:val="0"/>
          <w:sz w:val="32"/>
          <w:szCs w:val="32"/>
          <w:lang w:val="en-US" w:eastAsia="zh-CN" w:bidi="ar"/>
        </w:rPr>
      </w:pPr>
      <w:r>
        <w:rPr>
          <w:rFonts w:hint="default" w:ascii="Times New Roman" w:hAnsi="Times New Roman" w:eastAsia="仿宋_GB2312" w:cs="Times New Roman"/>
          <w:color w:val="auto"/>
          <w:sz w:val="32"/>
          <w:szCs w:val="32"/>
          <w:lang w:bidi="ar-SA"/>
        </w:rPr>
        <w:t>各镇人民政府</w:t>
      </w:r>
      <w:r>
        <w:rPr>
          <w:rFonts w:hint="eastAsia" w:ascii="Times New Roman" w:hAnsi="Times New Roman" w:eastAsia="仿宋_GB2312" w:cs="Times New Roman"/>
          <w:color w:val="auto"/>
          <w:sz w:val="32"/>
          <w:szCs w:val="32"/>
          <w:lang w:eastAsia="zh-CN" w:bidi="ar-SA"/>
        </w:rPr>
        <w:t>、</w:t>
      </w:r>
      <w:r>
        <w:rPr>
          <w:rFonts w:hint="default" w:ascii="Times New Roman" w:hAnsi="Times New Roman" w:eastAsia="仿宋_GB2312" w:cs="Times New Roman"/>
          <w:color w:val="auto"/>
          <w:sz w:val="32"/>
          <w:szCs w:val="32"/>
          <w:lang w:bidi="ar-SA"/>
        </w:rPr>
        <w:t>街道办事处，</w:t>
      </w:r>
      <w:r>
        <w:rPr>
          <w:rFonts w:hint="eastAsia" w:eastAsia="仿宋_GB2312" w:cs="Times New Roman"/>
          <w:color w:val="auto"/>
          <w:sz w:val="32"/>
          <w:szCs w:val="32"/>
          <w:lang w:val="en-US" w:eastAsia="zh-CN" w:bidi="ar-SA"/>
        </w:rPr>
        <w:t>开发区管委会，</w:t>
      </w:r>
      <w:r>
        <w:rPr>
          <w:rFonts w:hint="default" w:ascii="Times New Roman" w:hAnsi="Times New Roman" w:eastAsia="仿宋_GB2312" w:cs="Times New Roman"/>
          <w:color w:val="auto"/>
          <w:sz w:val="32"/>
          <w:szCs w:val="32"/>
          <w:lang w:bidi="ar-SA"/>
        </w:rPr>
        <w:t>区政府有关部</w:t>
      </w:r>
      <w:r>
        <w:rPr>
          <w:rFonts w:hint="eastAsia" w:ascii="仿宋_GB2312" w:hAnsi="仿宋_GB2312" w:eastAsia="仿宋_GB2312" w:cs="仿宋_GB2312"/>
          <w:color w:val="auto"/>
          <w:sz w:val="32"/>
          <w:szCs w:val="32"/>
          <w:lang w:bidi="ar-SA"/>
        </w:rPr>
        <w:t>门</w:t>
      </w:r>
      <w:r>
        <w:rPr>
          <w:rFonts w:hint="eastAsia" w:ascii="仿宋_GB2312" w:hAnsi="仿宋_GB2312" w:eastAsia="仿宋_GB2312" w:cs="仿宋_GB2312"/>
          <w:color w:val="auto"/>
          <w:sz w:val="32"/>
          <w:szCs w:val="32"/>
          <w:lang w:eastAsia="zh-CN" w:bidi="ar-SA"/>
        </w:rPr>
        <w:t>，</w:t>
      </w:r>
      <w:r>
        <w:rPr>
          <w:rFonts w:hint="default" w:ascii="Times New Roman" w:hAnsi="Times New Roman" w:eastAsia="仿宋_GB2312" w:cs="Times New Roman"/>
          <w:color w:val="auto"/>
          <w:sz w:val="32"/>
          <w:szCs w:val="32"/>
          <w:lang w:bidi="ar-SA"/>
        </w:rPr>
        <w:t>有关单位</w:t>
      </w:r>
      <w:r>
        <w:rPr>
          <w:rFonts w:hint="eastAsia" w:ascii="Times New Roman" w:hAnsi="Times New Roman" w:eastAsia="仿宋_GB2312" w:cs="Times New Roman"/>
          <w:color w:val="auto"/>
          <w:sz w:val="32"/>
          <w:szCs w:val="32"/>
          <w:lang w:eastAsia="zh-CN" w:bidi="ar-SA"/>
        </w:rPr>
        <w:t>：</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仿宋_GB2312" w:hAnsi="仿宋_GB2312" w:eastAsia="仿宋_GB2312" w:cs="仿宋_GB2312"/>
          <w:color w:val="auto"/>
          <w:sz w:val="32"/>
          <w:szCs w:val="32"/>
          <w:lang w:bidi="ar-SA"/>
        </w:rPr>
      </w:pPr>
      <w:r>
        <w:rPr>
          <w:rFonts w:hint="eastAsia" w:ascii="仿宋_GB2312" w:hAnsi="仿宋_GB2312" w:eastAsia="仿宋_GB2312" w:cs="仿宋_GB2312"/>
          <w:color w:val="auto"/>
          <w:sz w:val="32"/>
          <w:szCs w:val="32"/>
          <w:lang w:val="en-US" w:eastAsia="zh-CN" w:bidi="ar-SA"/>
        </w:rPr>
        <w:t>《博山区政务服务“双全双百”工程实施方案》已经区政府同意，现印发给你们，请认真贯彻执行。</w:t>
      </w:r>
    </w:p>
    <w:p>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博山区人民政府办公室</w:t>
      </w:r>
    </w:p>
    <w:p>
      <w:pPr>
        <w:keepNext w:val="0"/>
        <w:keepLines w:val="0"/>
        <w:pageBreakBefore w:val="0"/>
        <w:kinsoku/>
        <w:wordWrap/>
        <w:overflowPunct/>
        <w:topLinePunct w:val="0"/>
        <w:autoSpaceDE/>
        <w:autoSpaceDN/>
        <w:bidi w:val="0"/>
        <w:adjustRightInd/>
        <w:snapToGrid/>
        <w:spacing w:line="540" w:lineRule="exact"/>
        <w:ind w:firstLine="5120" w:firstLineChars="16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2021年7月26日</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sectPr>
          <w:footerReference r:id="rId3" w:type="default"/>
          <w:pgSz w:w="11906" w:h="16838"/>
          <w:pgMar w:top="2098" w:right="1474" w:bottom="1984" w:left="1587" w:header="851" w:footer="1417"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_GB2312" w:hAnsi="仿宋_GB2312" w:eastAsia="仿宋_GB2312" w:cs="仿宋_GB2312"/>
          <w:sz w:val="32"/>
          <w:szCs w:val="32"/>
          <w:u w:val="none"/>
          <w:lang w:val="en-US" w:eastAsia="zh-CN"/>
        </w:rPr>
        <w:t>（此件公开发布）</w:t>
      </w:r>
    </w:p>
    <w:p>
      <w:pPr>
        <w:keepNext w:val="0"/>
        <w:keepLines w:val="0"/>
        <w:pageBreakBefore w:val="0"/>
        <w:widowControl/>
        <w:suppressLineNumbers w:val="0"/>
        <w:kinsoku/>
        <w:wordWrap/>
        <w:overflowPunct/>
        <w:topLinePunct w:val="0"/>
        <w:autoSpaceDE/>
        <w:autoSpaceDN/>
        <w:bidi w:val="0"/>
        <w:adjustRightInd/>
        <w:snapToGrid/>
        <w:spacing w:line="576" w:lineRule="exact"/>
        <w:jc w:val="both"/>
        <w:textAlignment w:val="auto"/>
        <w:rPr>
          <w:rFonts w:hint="eastAsia" w:ascii="方正小标宋简体" w:hAnsi="方正小标宋简体" w:eastAsia="方正小标宋简体" w:cs="方正小标宋简体"/>
          <w:color w:val="auto"/>
          <w:sz w:val="44"/>
          <w:szCs w:val="44"/>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方正小标宋简体" w:hAnsi="方正小标宋简体" w:eastAsia="方正小标宋简体" w:cs="方正小标宋简体"/>
          <w:color w:val="auto"/>
          <w:sz w:val="44"/>
          <w:szCs w:val="44"/>
          <w:lang w:val="en-US" w:eastAsia="zh-CN" w:bidi="ar-SA"/>
        </w:rPr>
        <w:t>博山区政务服务“双全双百”工程实施方案</w:t>
      </w:r>
    </w:p>
    <w:p>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为进一步优化营商环境，深入推进流程再造，增强企业和群众办事便利度，根据《山东省政务服务“双全双百”工程实施方案》（鲁政办发〔2021〕7号）及《淄博市人民政府办公室关于印发淄博市政务服务“双全双百”工程实施方案的通知》（淄政办字〔2021〕54号）要求，结合我区实际，现就我区政务服务“双全双百”工程制定如下实施方案。</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黑体" w:cs="黑体"/>
          <w:color w:val="000000"/>
          <w:kern w:val="0"/>
          <w:sz w:val="32"/>
          <w:szCs w:val="32"/>
          <w:lang w:val="en-US" w:eastAsia="zh-CN" w:bidi="ar"/>
        </w:rPr>
      </w:pPr>
      <w:r>
        <w:rPr>
          <w:rFonts w:hint="eastAsia" w:ascii="仿宋_GB2312" w:hAnsi="仿宋_GB2312" w:eastAsia="黑体" w:cs="黑体"/>
          <w:color w:val="000000"/>
          <w:kern w:val="0"/>
          <w:sz w:val="32"/>
          <w:szCs w:val="32"/>
          <w:lang w:val="en-US" w:eastAsia="zh-CN" w:bidi="ar"/>
        </w:rPr>
        <w:t>一、指导思想</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以习近平新时代中国特色社会主义思想为指导，全面贯彻落实党的十九大和十九届二中、三中、四中、五中全会精神，坚持以人民为中心的发展思想，全面深化“放管服”改革，创新行政审批服务方式，聚焦企业和个人全生命周期高频事项、重点环节，以场景应用驱动服务创新</w:t>
      </w:r>
      <w:bookmarkStart w:id="0" w:name="_GoBack"/>
      <w:bookmarkEnd w:id="0"/>
      <w:r>
        <w:rPr>
          <w:rFonts w:hint="eastAsia" w:ascii="仿宋_GB2312" w:hAnsi="仿宋_GB2312" w:eastAsia="仿宋_GB2312" w:cs="仿宋_GB2312"/>
          <w:color w:val="000000"/>
          <w:kern w:val="0"/>
          <w:sz w:val="32"/>
          <w:szCs w:val="32"/>
          <w:lang w:val="en-US" w:eastAsia="zh-CN" w:bidi="ar"/>
        </w:rPr>
        <w:t>，简化优化业务流程，统一办理标准，强化数据支撑，加快推动政务服务从政府部门供给导向向企业和群众需求导向转变，着力构建政务服务新模式，打造一流营商环境，不断增强人民群众的获得感和满意度。</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黑体" w:cs="黑体"/>
          <w:color w:val="000000"/>
          <w:kern w:val="0"/>
          <w:sz w:val="32"/>
          <w:szCs w:val="32"/>
          <w:lang w:val="en-US" w:eastAsia="zh-CN" w:bidi="ar"/>
        </w:rPr>
      </w:pPr>
      <w:r>
        <w:rPr>
          <w:rFonts w:hint="eastAsia" w:ascii="仿宋_GB2312" w:hAnsi="仿宋_GB2312" w:eastAsia="黑体" w:cs="黑体"/>
          <w:color w:val="000000"/>
          <w:kern w:val="0"/>
          <w:sz w:val="32"/>
          <w:szCs w:val="32"/>
          <w:lang w:val="en-US" w:eastAsia="zh-CN" w:bidi="ar"/>
        </w:rPr>
        <w:t>二、工作目标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围绕企业开办、准营、运营、退出等阶段，个人出生、教育、工作、养老等阶段</w:t>
      </w:r>
      <w:r>
        <w:rPr>
          <w:rFonts w:hint="eastAsia" w:ascii="仿宋_GB2312" w:hAnsi="仿宋_GB2312" w:eastAsia="仿宋_GB2312" w:cs="仿宋_GB2312"/>
          <w:color w:val="000000"/>
          <w:kern w:val="0"/>
          <w:sz w:val="32"/>
          <w:szCs w:val="32"/>
          <w:highlight w:val="none"/>
          <w:lang w:val="en-US" w:eastAsia="zh-CN" w:bidi="ar"/>
        </w:rPr>
        <w:t>，2021年7月底前，以事项为</w:t>
      </w:r>
      <w:r>
        <w:rPr>
          <w:rFonts w:hint="eastAsia" w:ascii="仿宋_GB2312" w:hAnsi="仿宋_GB2312" w:eastAsia="仿宋_GB2312" w:cs="仿宋_GB2312"/>
          <w:color w:val="000000"/>
          <w:kern w:val="0"/>
          <w:sz w:val="32"/>
          <w:szCs w:val="32"/>
          <w:lang w:val="en-US" w:eastAsia="zh-CN" w:bidi="ar"/>
        </w:rPr>
        <w:t>基础优化场景集成服务，实行“一次告知、一表申请、一套材料、一次办好”；9月底前</w:t>
      </w:r>
      <w:r>
        <w:rPr>
          <w:rFonts w:hint="eastAsia" w:ascii="仿宋_GB2312" w:hAnsi="仿宋_GB2312" w:eastAsia="仿宋_GB2312" w:cs="仿宋_GB2312"/>
          <w:color w:val="000000"/>
          <w:kern w:val="0"/>
          <w:sz w:val="32"/>
          <w:szCs w:val="32"/>
          <w:highlight w:val="none"/>
          <w:lang w:val="en-US" w:eastAsia="zh-CN" w:bidi="ar"/>
        </w:rPr>
        <w:t>，配合市级部门在“政务服务一网通办”总门户、“爱山东·爱淄博”掌上服务等平台设置政</w:t>
      </w:r>
      <w:r>
        <w:rPr>
          <w:rFonts w:hint="eastAsia" w:ascii="仿宋_GB2312" w:hAnsi="仿宋_GB2312" w:eastAsia="仿宋_GB2312" w:cs="仿宋_GB2312"/>
          <w:color w:val="000000"/>
          <w:kern w:val="0"/>
          <w:sz w:val="32"/>
          <w:szCs w:val="32"/>
          <w:lang w:val="en-US" w:eastAsia="zh-CN" w:bidi="ar"/>
        </w:rPr>
        <w:t>务服务专区，线上实现“一网通办”，线下实行“一窗受理”；12月底前，各推出100项高频事项极简办、集成办、全域办。</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楷体_GB2312" w:cs="楷体_GB2312"/>
          <w:color w:val="000000"/>
          <w:kern w:val="0"/>
          <w:sz w:val="32"/>
          <w:szCs w:val="32"/>
          <w:lang w:val="en-US" w:eastAsia="zh-CN" w:bidi="ar"/>
        </w:rPr>
        <w:t>（一）推进“极简办”。</w:t>
      </w:r>
      <w:r>
        <w:rPr>
          <w:rFonts w:hint="eastAsia" w:ascii="仿宋_GB2312" w:hAnsi="仿宋_GB2312" w:eastAsia="仿宋_GB2312" w:cs="仿宋_GB2312"/>
          <w:color w:val="000000"/>
          <w:kern w:val="0"/>
          <w:sz w:val="32"/>
          <w:szCs w:val="32"/>
          <w:lang w:val="en-US" w:eastAsia="zh-CN" w:bidi="ar"/>
        </w:rPr>
        <w:t>通过推行信用审批，打造“承诺即入”审批模式，进一步减环节、减材料、减时限，打造最优办事流程。提升办事平台功能，发挥数据支撑作用，推进政务服务网上办、掌上办、自助办、智能办，实现办事渠道多样化、办事方式便捷化、办事过程极简化。</w:t>
      </w:r>
    </w:p>
    <w:p>
      <w:pPr>
        <w:keepNext w:val="0"/>
        <w:keepLines w:val="0"/>
        <w:pageBreakBefore w:val="0"/>
        <w:kinsoku/>
        <w:wordWrap/>
        <w:overflowPunct/>
        <w:topLinePunct w:val="0"/>
        <w:autoSpaceDN/>
        <w:bidi w:val="0"/>
        <w:adjustRightInd w:val="0"/>
        <w:snapToGrid w:val="0"/>
        <w:spacing w:line="576" w:lineRule="exact"/>
        <w:ind w:firstLine="640" w:firstLineChars="200"/>
        <w:jc w:val="both"/>
        <w:textAlignment w:val="auto"/>
        <w:rPr>
          <w:rFonts w:ascii="仿宋_GB2312" w:hAnsi="仿宋_GB2312" w:eastAsia="仿宋_GB2312" w:cs="Times New Roman"/>
          <w:color w:val="auto"/>
          <w:sz w:val="32"/>
          <w:szCs w:val="32"/>
          <w:highlight w:val="none"/>
          <w:lang w:bidi="ar"/>
        </w:rPr>
      </w:pPr>
      <w:r>
        <w:rPr>
          <w:rFonts w:hint="eastAsia" w:ascii="仿宋_GB2312" w:hAnsi="仿宋_GB2312" w:eastAsia="楷体_GB2312" w:cs="楷体_GB2312"/>
          <w:b w:val="0"/>
          <w:bCs w:val="0"/>
          <w:color w:val="auto"/>
          <w:sz w:val="32"/>
          <w:szCs w:val="32"/>
          <w:highlight w:val="none"/>
          <w:lang w:val="en-US" w:eastAsia="zh-CN"/>
        </w:rPr>
        <w:t>（二）</w:t>
      </w:r>
      <w:r>
        <w:rPr>
          <w:rFonts w:hint="eastAsia" w:ascii="仿宋_GB2312" w:hAnsi="仿宋_GB2312" w:eastAsia="楷体_GB2312" w:cs="楷体_GB2312"/>
          <w:b w:val="0"/>
          <w:bCs w:val="0"/>
          <w:color w:val="auto"/>
          <w:sz w:val="32"/>
          <w:szCs w:val="32"/>
          <w:highlight w:val="none"/>
        </w:rPr>
        <w:t>深化</w:t>
      </w:r>
      <w:r>
        <w:rPr>
          <w:rFonts w:hint="eastAsia" w:ascii="仿宋_GB2312" w:hAnsi="仿宋_GB2312" w:eastAsia="楷体_GB2312" w:cs="楷体_GB2312"/>
          <w:b w:val="0"/>
          <w:bCs w:val="0"/>
          <w:color w:val="auto"/>
          <w:sz w:val="32"/>
          <w:szCs w:val="32"/>
          <w:highlight w:val="none"/>
          <w:lang w:eastAsia="zh-CN"/>
        </w:rPr>
        <w:t>“</w:t>
      </w:r>
      <w:r>
        <w:rPr>
          <w:rFonts w:hint="eastAsia" w:ascii="仿宋_GB2312" w:hAnsi="仿宋_GB2312" w:eastAsia="楷体_GB2312" w:cs="楷体_GB2312"/>
          <w:b w:val="0"/>
          <w:bCs w:val="0"/>
          <w:color w:val="auto"/>
          <w:sz w:val="32"/>
          <w:szCs w:val="32"/>
          <w:highlight w:val="none"/>
        </w:rPr>
        <w:t>集成办</w:t>
      </w:r>
      <w:r>
        <w:rPr>
          <w:rFonts w:hint="eastAsia" w:ascii="仿宋_GB2312" w:hAnsi="仿宋_GB2312" w:eastAsia="楷体_GB2312" w:cs="楷体_GB2312"/>
          <w:b w:val="0"/>
          <w:bCs w:val="0"/>
          <w:color w:val="auto"/>
          <w:sz w:val="32"/>
          <w:szCs w:val="32"/>
          <w:highlight w:val="none"/>
          <w:lang w:eastAsia="zh-CN"/>
        </w:rPr>
        <w:t>”</w:t>
      </w:r>
      <w:r>
        <w:rPr>
          <w:rFonts w:hint="eastAsia" w:ascii="仿宋_GB2312" w:hAnsi="仿宋_GB2312" w:eastAsia="楷体_GB2312" w:cs="楷体_GB2312"/>
          <w:b w:val="0"/>
          <w:bCs w:val="0"/>
          <w:color w:val="auto"/>
          <w:sz w:val="32"/>
          <w:szCs w:val="32"/>
          <w:highlight w:val="none"/>
        </w:rPr>
        <w:t>。</w:t>
      </w:r>
      <w:r>
        <w:rPr>
          <w:rFonts w:hint="eastAsia" w:ascii="仿宋_GB2312" w:hAnsi="仿宋_GB2312" w:eastAsia="仿宋_GB2312" w:cs="Times New Roman"/>
          <w:b w:val="0"/>
          <w:bCs w:val="0"/>
          <w:color w:val="auto"/>
          <w:sz w:val="32"/>
          <w:szCs w:val="32"/>
          <w:highlight w:val="none"/>
          <w:lang w:val="en-US" w:eastAsia="zh-CN"/>
        </w:rPr>
        <w:t>梳理</w:t>
      </w:r>
      <w:r>
        <w:rPr>
          <w:rFonts w:hint="eastAsia" w:ascii="仿宋_GB2312" w:hAnsi="仿宋_GB2312" w:eastAsia="仿宋_GB2312"/>
          <w:b w:val="0"/>
          <w:bCs w:val="0"/>
          <w:color w:val="auto"/>
          <w:sz w:val="32"/>
          <w:szCs w:val="32"/>
          <w:highlight w:val="none"/>
          <w:lang w:val="en-US" w:eastAsia="zh-CN"/>
        </w:rPr>
        <w:t>整合企业和个人高频办理事项，</w:t>
      </w:r>
      <w:r>
        <w:rPr>
          <w:rFonts w:hint="eastAsia" w:ascii="仿宋_GB2312" w:hAnsi="仿宋_GB2312" w:eastAsia="仿宋_GB2312" w:cs="Times New Roman"/>
          <w:color w:val="auto"/>
          <w:sz w:val="32"/>
          <w:szCs w:val="32"/>
          <w:highlight w:val="none"/>
          <w:lang w:val="en-US" w:eastAsia="zh-CN" w:bidi="ar"/>
        </w:rPr>
        <w:t>形成企业和个人全生命周期“一件事”清单，</w:t>
      </w:r>
      <w:r>
        <w:rPr>
          <w:rFonts w:ascii="仿宋_GB2312" w:hAnsi="仿宋_GB2312" w:eastAsia="仿宋_GB2312" w:cs="Times New Roman"/>
          <w:color w:val="auto"/>
          <w:sz w:val="32"/>
          <w:szCs w:val="32"/>
          <w:highlight w:val="none"/>
          <w:lang w:bidi="ar"/>
        </w:rPr>
        <w:t>通过流程再造、数据共享</w:t>
      </w:r>
      <w:r>
        <w:rPr>
          <w:rFonts w:hint="eastAsia" w:ascii="仿宋_GB2312" w:hAnsi="仿宋_GB2312" w:eastAsia="仿宋_GB2312" w:cs="Times New Roman"/>
          <w:color w:val="auto"/>
          <w:sz w:val="32"/>
          <w:szCs w:val="32"/>
          <w:highlight w:val="none"/>
          <w:lang w:eastAsia="zh-CN" w:bidi="ar"/>
        </w:rPr>
        <w:t>，</w:t>
      </w:r>
      <w:r>
        <w:rPr>
          <w:rFonts w:hint="eastAsia" w:ascii="仿宋_GB2312" w:hAnsi="仿宋_GB2312" w:eastAsia="仿宋_GB2312" w:cs="Times New Roman"/>
          <w:color w:val="auto"/>
          <w:sz w:val="32"/>
          <w:szCs w:val="32"/>
          <w:highlight w:val="none"/>
          <w:lang w:val="en-US" w:eastAsia="zh-CN" w:bidi="ar"/>
        </w:rPr>
        <w:t>深入推进</w:t>
      </w:r>
      <w:r>
        <w:rPr>
          <w:rFonts w:hint="eastAsia" w:ascii="仿宋_GB2312" w:hAnsi="仿宋_GB2312" w:eastAsia="仿宋_GB2312" w:cs="Times New Roman"/>
          <w:color w:val="auto"/>
          <w:sz w:val="32"/>
          <w:szCs w:val="32"/>
          <w:highlight w:val="none"/>
          <w:lang w:eastAsia="zh-CN" w:bidi="ar"/>
        </w:rPr>
        <w:t>“</w:t>
      </w:r>
      <w:r>
        <w:rPr>
          <w:rFonts w:ascii="仿宋_GB2312" w:hAnsi="仿宋_GB2312" w:eastAsia="仿宋_GB2312" w:cs="Times New Roman"/>
          <w:color w:val="auto"/>
          <w:sz w:val="32"/>
          <w:szCs w:val="32"/>
          <w:highlight w:val="none"/>
          <w:lang w:bidi="ar"/>
        </w:rPr>
        <w:t>一网通办</w:t>
      </w:r>
      <w:r>
        <w:rPr>
          <w:rFonts w:hint="eastAsia" w:ascii="仿宋_GB2312" w:hAnsi="仿宋_GB2312" w:eastAsia="仿宋_GB2312" w:cs="Times New Roman"/>
          <w:color w:val="auto"/>
          <w:sz w:val="32"/>
          <w:szCs w:val="32"/>
          <w:highlight w:val="none"/>
          <w:lang w:eastAsia="zh-CN" w:bidi="ar"/>
        </w:rPr>
        <w:t>”“</w:t>
      </w:r>
      <w:r>
        <w:rPr>
          <w:rFonts w:ascii="仿宋_GB2312" w:hAnsi="仿宋_GB2312" w:eastAsia="仿宋_GB2312" w:cs="Times New Roman"/>
          <w:color w:val="auto"/>
          <w:sz w:val="32"/>
          <w:szCs w:val="32"/>
          <w:highlight w:val="none"/>
          <w:lang w:bidi="ar"/>
        </w:rPr>
        <w:t>一窗受理</w:t>
      </w:r>
      <w:r>
        <w:rPr>
          <w:rFonts w:hint="eastAsia" w:ascii="仿宋_GB2312" w:hAnsi="仿宋_GB2312" w:eastAsia="仿宋_GB2312" w:cs="Times New Roman"/>
          <w:color w:val="auto"/>
          <w:sz w:val="32"/>
          <w:szCs w:val="32"/>
          <w:highlight w:val="none"/>
          <w:lang w:eastAsia="zh-CN" w:bidi="ar"/>
        </w:rPr>
        <w:t>”，</w:t>
      </w:r>
      <w:r>
        <w:rPr>
          <w:rFonts w:ascii="仿宋_GB2312" w:hAnsi="仿宋_GB2312" w:eastAsia="仿宋_GB2312" w:cs="Times New Roman"/>
          <w:color w:val="auto"/>
          <w:sz w:val="32"/>
          <w:szCs w:val="32"/>
          <w:highlight w:val="none"/>
          <w:lang w:bidi="ar"/>
        </w:rPr>
        <w:t>拓展延伸</w:t>
      </w:r>
      <w:r>
        <w:rPr>
          <w:rFonts w:hint="eastAsia" w:ascii="仿宋_GB2312" w:hAnsi="仿宋_GB2312" w:eastAsia="仿宋_GB2312" w:cs="Times New Roman"/>
          <w:color w:val="auto"/>
          <w:sz w:val="32"/>
          <w:szCs w:val="32"/>
          <w:highlight w:val="none"/>
          <w:lang w:eastAsia="zh-CN" w:bidi="ar"/>
        </w:rPr>
        <w:t>“</w:t>
      </w:r>
      <w:r>
        <w:rPr>
          <w:rFonts w:ascii="仿宋_GB2312" w:hAnsi="仿宋_GB2312" w:eastAsia="仿宋_GB2312" w:cs="Times New Roman"/>
          <w:color w:val="auto"/>
          <w:sz w:val="32"/>
          <w:szCs w:val="32"/>
          <w:highlight w:val="none"/>
          <w:lang w:bidi="ar"/>
        </w:rPr>
        <w:t>一链办理</w:t>
      </w:r>
      <w:r>
        <w:rPr>
          <w:rFonts w:hint="eastAsia" w:ascii="仿宋_GB2312" w:hAnsi="仿宋_GB2312" w:eastAsia="仿宋_GB2312" w:cs="Times New Roman"/>
          <w:color w:val="auto"/>
          <w:sz w:val="32"/>
          <w:szCs w:val="32"/>
          <w:highlight w:val="none"/>
          <w:lang w:eastAsia="zh-CN" w:bidi="ar"/>
        </w:rPr>
        <w:t>”，</w:t>
      </w:r>
      <w:r>
        <w:rPr>
          <w:rFonts w:hint="eastAsia" w:ascii="仿宋_GB2312" w:hAnsi="仿宋_GB2312" w:eastAsia="仿宋_GB2312" w:cs="Times New Roman"/>
          <w:color w:val="auto"/>
          <w:sz w:val="32"/>
          <w:szCs w:val="32"/>
          <w:highlight w:val="none"/>
          <w:lang w:val="en-US" w:eastAsia="zh-CN" w:bidi="ar"/>
        </w:rPr>
        <w:t>推动</w:t>
      </w:r>
      <w:r>
        <w:rPr>
          <w:rFonts w:ascii="仿宋_GB2312" w:hAnsi="仿宋_GB2312" w:eastAsia="仿宋_GB2312" w:cs="Times New Roman"/>
          <w:color w:val="auto"/>
          <w:sz w:val="32"/>
          <w:szCs w:val="32"/>
          <w:highlight w:val="none"/>
          <w:lang w:bidi="ar"/>
        </w:rPr>
        <w:t>更多关联事项集成办理</w:t>
      </w:r>
      <w:r>
        <w:rPr>
          <w:rFonts w:hint="eastAsia" w:ascii="仿宋_GB2312" w:hAnsi="仿宋_GB2312" w:eastAsia="仿宋_GB2312" w:cs="Times New Roman"/>
          <w:color w:val="auto"/>
          <w:sz w:val="32"/>
          <w:szCs w:val="32"/>
          <w:highlight w:val="none"/>
          <w:lang w:eastAsia="zh-CN" w:bidi="ar"/>
        </w:rPr>
        <w:t>，</w:t>
      </w:r>
      <w:r>
        <w:rPr>
          <w:rFonts w:ascii="仿宋_GB2312" w:hAnsi="仿宋_GB2312" w:eastAsia="仿宋_GB2312" w:cs="Times New Roman"/>
          <w:color w:val="auto"/>
          <w:sz w:val="32"/>
          <w:szCs w:val="32"/>
          <w:highlight w:val="none"/>
          <w:lang w:bidi="ar"/>
        </w:rPr>
        <w:t>满足企业和群众</w:t>
      </w:r>
      <w:r>
        <w:rPr>
          <w:rFonts w:hint="eastAsia" w:ascii="仿宋_GB2312" w:hAnsi="仿宋_GB2312" w:eastAsia="仿宋_GB2312" w:cs="Times New Roman"/>
          <w:color w:val="auto"/>
          <w:sz w:val="32"/>
          <w:szCs w:val="32"/>
          <w:highlight w:val="none"/>
          <w:lang w:val="en-US" w:eastAsia="zh-CN" w:bidi="ar"/>
        </w:rPr>
        <w:t>多种应用场景的</w:t>
      </w:r>
      <w:r>
        <w:rPr>
          <w:rFonts w:ascii="仿宋_GB2312" w:hAnsi="仿宋_GB2312" w:eastAsia="仿宋_GB2312" w:cs="Times New Roman"/>
          <w:color w:val="auto"/>
          <w:sz w:val="32"/>
          <w:szCs w:val="32"/>
          <w:highlight w:val="none"/>
          <w:lang w:bidi="ar"/>
        </w:rPr>
        <w:t>办事需求。</w:t>
      </w:r>
    </w:p>
    <w:p>
      <w:pPr>
        <w:pStyle w:val="5"/>
        <w:keepNext w:val="0"/>
        <w:keepLines w:val="0"/>
        <w:pageBreakBefore w:val="0"/>
        <w:kinsoku/>
        <w:wordWrap/>
        <w:overflowPunct/>
        <w:topLinePunct w:val="0"/>
        <w:autoSpaceDN/>
        <w:bidi w:val="0"/>
        <w:adjustRightInd w:val="0"/>
        <w:snapToGrid w:val="0"/>
        <w:spacing w:before="0" w:beforeAutospacing="0" w:after="0" w:afterAutospacing="0" w:line="576" w:lineRule="exact"/>
        <w:ind w:firstLine="600"/>
        <w:jc w:val="both"/>
        <w:textAlignment w:val="auto"/>
        <w:rPr>
          <w:rFonts w:ascii="仿宋_GB2312" w:hAnsi="仿宋_GB2312" w:eastAsia="仿宋_GB2312"/>
          <w:color w:val="auto"/>
          <w:kern w:val="2"/>
          <w:sz w:val="32"/>
          <w:szCs w:val="32"/>
          <w:highlight w:val="none"/>
          <w:lang w:bidi="ar"/>
        </w:rPr>
      </w:pPr>
      <w:r>
        <w:rPr>
          <w:rFonts w:hint="eastAsia" w:ascii="仿宋_GB2312" w:hAnsi="仿宋_GB2312" w:eastAsia="楷体_GB2312" w:cs="楷体_GB2312"/>
          <w:b w:val="0"/>
          <w:bCs w:val="0"/>
          <w:color w:val="auto"/>
          <w:sz w:val="32"/>
          <w:szCs w:val="32"/>
          <w:highlight w:val="none"/>
          <w:lang w:val="en-US" w:eastAsia="zh-CN"/>
        </w:rPr>
        <w:t>（三）</w:t>
      </w:r>
      <w:r>
        <w:rPr>
          <w:rFonts w:hint="eastAsia" w:ascii="仿宋_GB2312" w:hAnsi="仿宋_GB2312" w:eastAsia="楷体_GB2312" w:cs="楷体_GB2312"/>
          <w:b w:val="0"/>
          <w:bCs w:val="0"/>
          <w:color w:val="auto"/>
          <w:sz w:val="32"/>
          <w:szCs w:val="32"/>
          <w:highlight w:val="none"/>
        </w:rPr>
        <w:t>推行</w:t>
      </w:r>
      <w:r>
        <w:rPr>
          <w:rFonts w:hint="eastAsia" w:ascii="仿宋_GB2312" w:hAnsi="仿宋_GB2312" w:eastAsia="楷体_GB2312" w:cs="楷体_GB2312"/>
          <w:b w:val="0"/>
          <w:bCs w:val="0"/>
          <w:color w:val="auto"/>
          <w:sz w:val="32"/>
          <w:szCs w:val="32"/>
          <w:highlight w:val="none"/>
          <w:lang w:eastAsia="zh-CN"/>
        </w:rPr>
        <w:t>“</w:t>
      </w:r>
      <w:r>
        <w:rPr>
          <w:rFonts w:hint="eastAsia" w:ascii="仿宋_GB2312" w:hAnsi="仿宋_GB2312" w:eastAsia="楷体_GB2312" w:cs="楷体_GB2312"/>
          <w:b w:val="0"/>
          <w:bCs w:val="0"/>
          <w:color w:val="auto"/>
          <w:sz w:val="32"/>
          <w:szCs w:val="32"/>
          <w:highlight w:val="none"/>
        </w:rPr>
        <w:t>全域办</w:t>
      </w:r>
      <w:r>
        <w:rPr>
          <w:rFonts w:hint="eastAsia" w:ascii="仿宋_GB2312" w:hAnsi="仿宋_GB2312" w:eastAsia="楷体_GB2312" w:cs="楷体_GB2312"/>
          <w:b w:val="0"/>
          <w:bCs w:val="0"/>
          <w:color w:val="auto"/>
          <w:sz w:val="32"/>
          <w:szCs w:val="32"/>
          <w:highlight w:val="none"/>
          <w:lang w:eastAsia="zh-CN"/>
        </w:rPr>
        <w:t>”</w:t>
      </w:r>
      <w:r>
        <w:rPr>
          <w:rFonts w:hint="eastAsia" w:ascii="仿宋_GB2312" w:hAnsi="仿宋_GB2312" w:eastAsia="楷体_GB2312" w:cs="楷体_GB2312"/>
          <w:b w:val="0"/>
          <w:bCs w:val="0"/>
          <w:color w:val="auto"/>
          <w:sz w:val="32"/>
          <w:szCs w:val="32"/>
          <w:highlight w:val="none"/>
        </w:rPr>
        <w:t>。</w:t>
      </w:r>
      <w:r>
        <w:rPr>
          <w:rFonts w:hint="eastAsia" w:ascii="仿宋_GB2312" w:hAnsi="仿宋_GB2312" w:eastAsia="仿宋_GB2312"/>
          <w:color w:val="auto"/>
          <w:kern w:val="2"/>
          <w:sz w:val="32"/>
          <w:szCs w:val="32"/>
          <w:highlight w:val="none"/>
          <w:lang w:val="en-US" w:eastAsia="zh-CN"/>
        </w:rPr>
        <w:t>根据</w:t>
      </w:r>
      <w:r>
        <w:rPr>
          <w:rFonts w:ascii="仿宋_GB2312" w:hAnsi="仿宋_GB2312" w:eastAsia="仿宋_GB2312"/>
          <w:color w:val="auto"/>
          <w:kern w:val="2"/>
          <w:sz w:val="32"/>
          <w:szCs w:val="32"/>
          <w:highlight w:val="none"/>
        </w:rPr>
        <w:t>全省统一的事项办理规范</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lang w:bidi="ar"/>
        </w:rPr>
        <w:t>加快政务服务标准化、网点服务便利化、跨域服务通办化</w:t>
      </w:r>
      <w:r>
        <w:rPr>
          <w:rFonts w:hint="eastAsia" w:ascii="仿宋_GB2312" w:hAnsi="仿宋_GB2312" w:eastAsia="仿宋_GB2312"/>
          <w:color w:val="auto"/>
          <w:kern w:val="2"/>
          <w:sz w:val="32"/>
          <w:szCs w:val="32"/>
          <w:highlight w:val="none"/>
          <w:lang w:eastAsia="zh-CN" w:bidi="ar"/>
        </w:rPr>
        <w:t>，</w:t>
      </w:r>
      <w:r>
        <w:rPr>
          <w:rFonts w:ascii="仿宋_GB2312" w:hAnsi="仿宋_GB2312" w:eastAsia="仿宋_GB2312"/>
          <w:color w:val="auto"/>
          <w:kern w:val="2"/>
          <w:sz w:val="32"/>
          <w:szCs w:val="32"/>
          <w:highlight w:val="none"/>
          <w:lang w:bidi="ar"/>
        </w:rPr>
        <w:t>推动更多事项就近可办、全程网办</w:t>
      </w:r>
      <w:r>
        <w:rPr>
          <w:rFonts w:hint="eastAsia" w:ascii="仿宋_GB2312" w:hAnsi="仿宋_GB2312" w:eastAsia="仿宋_GB2312"/>
          <w:color w:val="auto"/>
          <w:kern w:val="2"/>
          <w:sz w:val="32"/>
          <w:szCs w:val="32"/>
          <w:highlight w:val="none"/>
          <w:lang w:eastAsia="zh-CN" w:bidi="ar"/>
        </w:rPr>
        <w:t>、</w:t>
      </w:r>
      <w:r>
        <w:rPr>
          <w:rFonts w:hint="eastAsia" w:ascii="仿宋_GB2312" w:hAnsi="仿宋_GB2312" w:eastAsia="仿宋_GB2312"/>
          <w:color w:val="auto"/>
          <w:kern w:val="2"/>
          <w:sz w:val="32"/>
          <w:szCs w:val="32"/>
          <w:highlight w:val="none"/>
          <w:lang w:val="en-US" w:eastAsia="zh-CN" w:bidi="ar"/>
        </w:rPr>
        <w:t>市域通办、</w:t>
      </w:r>
      <w:r>
        <w:rPr>
          <w:rFonts w:ascii="仿宋_GB2312" w:hAnsi="仿宋_GB2312" w:eastAsia="仿宋_GB2312"/>
          <w:color w:val="auto"/>
          <w:kern w:val="2"/>
          <w:sz w:val="32"/>
          <w:szCs w:val="32"/>
          <w:highlight w:val="none"/>
          <w:lang w:bidi="ar"/>
        </w:rPr>
        <w:t>全省通办。</w:t>
      </w:r>
    </w:p>
    <w:p>
      <w:pPr>
        <w:pStyle w:val="5"/>
        <w:keepNext w:val="0"/>
        <w:keepLines w:val="0"/>
        <w:pageBreakBefore w:val="0"/>
        <w:kinsoku/>
        <w:wordWrap/>
        <w:overflowPunct/>
        <w:topLinePunct w:val="0"/>
        <w:autoSpaceDN/>
        <w:bidi w:val="0"/>
        <w:adjustRightInd w:val="0"/>
        <w:snapToGrid w:val="0"/>
        <w:spacing w:before="0" w:beforeAutospacing="0" w:after="0" w:afterAutospacing="0" w:line="576" w:lineRule="exact"/>
        <w:ind w:firstLine="600"/>
        <w:jc w:val="both"/>
        <w:textAlignment w:val="auto"/>
        <w:rPr>
          <w:rFonts w:hint="eastAsia" w:ascii="仿宋_GB2312" w:hAnsi="仿宋_GB2312" w:eastAsia="黑体"/>
          <w:color w:val="auto"/>
          <w:sz w:val="32"/>
          <w:szCs w:val="32"/>
          <w:highlight w:val="none"/>
          <w:lang w:val="en-US" w:eastAsia="zh-CN"/>
        </w:rPr>
      </w:pPr>
      <w:r>
        <w:rPr>
          <w:rFonts w:hint="eastAsia" w:ascii="仿宋_GB2312" w:hAnsi="仿宋_GB2312" w:eastAsia="黑体"/>
          <w:color w:val="auto"/>
          <w:sz w:val="32"/>
          <w:szCs w:val="32"/>
          <w:highlight w:val="none"/>
          <w:lang w:val="en-US" w:eastAsia="zh-CN"/>
        </w:rPr>
        <w:t>三</w:t>
      </w:r>
      <w:r>
        <w:rPr>
          <w:rFonts w:ascii="仿宋_GB2312" w:hAnsi="仿宋_GB2312" w:eastAsia="黑体"/>
          <w:color w:val="auto"/>
          <w:sz w:val="32"/>
          <w:szCs w:val="32"/>
          <w:highlight w:val="none"/>
        </w:rPr>
        <w:t>、任务</w:t>
      </w:r>
      <w:r>
        <w:rPr>
          <w:rFonts w:hint="eastAsia" w:ascii="仿宋_GB2312" w:hAnsi="仿宋_GB2312" w:eastAsia="黑体"/>
          <w:color w:val="auto"/>
          <w:sz w:val="32"/>
          <w:szCs w:val="32"/>
          <w:highlight w:val="none"/>
          <w:lang w:val="en-US" w:eastAsia="zh-CN"/>
        </w:rPr>
        <w:t>措施</w:t>
      </w:r>
    </w:p>
    <w:p>
      <w:pPr>
        <w:pStyle w:val="5"/>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各场景和链条牵头部门会同协同部门，健全运行机制，制定时间表，明确路线图，确保按期完成任务。</w:t>
      </w:r>
    </w:p>
    <w:p>
      <w:pPr>
        <w:pStyle w:val="5"/>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firstLine="640" w:firstLineChars="200"/>
        <w:jc w:val="both"/>
        <w:textAlignment w:val="auto"/>
        <w:rPr>
          <w:rFonts w:ascii="仿宋_GB2312" w:hAnsi="仿宋_GB2312" w:eastAsia="楷体_GB2312"/>
          <w:color w:val="auto"/>
          <w:kern w:val="2"/>
          <w:sz w:val="32"/>
          <w:szCs w:val="32"/>
          <w:highlight w:val="none"/>
        </w:rPr>
      </w:pPr>
      <w:r>
        <w:rPr>
          <w:rFonts w:ascii="仿宋_GB2312" w:hAnsi="仿宋_GB2312" w:eastAsia="楷体_GB2312"/>
          <w:color w:val="auto"/>
          <w:sz w:val="32"/>
          <w:szCs w:val="32"/>
          <w:highlight w:val="none"/>
        </w:rPr>
        <w:t>（一）</w:t>
      </w:r>
      <w:r>
        <w:rPr>
          <w:rFonts w:hint="eastAsia" w:ascii="仿宋_GB2312" w:hAnsi="仿宋_GB2312" w:eastAsia="楷体_GB2312"/>
          <w:color w:val="auto"/>
          <w:sz w:val="32"/>
          <w:szCs w:val="32"/>
          <w:highlight w:val="none"/>
          <w:lang w:val="en-US" w:eastAsia="zh-CN"/>
        </w:rPr>
        <w:t>大力优化</w:t>
      </w:r>
      <w:r>
        <w:rPr>
          <w:rFonts w:ascii="仿宋_GB2312" w:hAnsi="仿宋_GB2312" w:eastAsia="楷体_GB2312"/>
          <w:color w:val="auto"/>
          <w:sz w:val="32"/>
          <w:szCs w:val="32"/>
          <w:highlight w:val="none"/>
        </w:rPr>
        <w:t>事项</w:t>
      </w:r>
      <w:r>
        <w:rPr>
          <w:rFonts w:hint="eastAsia" w:ascii="仿宋_GB2312" w:hAnsi="仿宋_GB2312" w:eastAsia="楷体_GB2312"/>
          <w:color w:val="auto"/>
          <w:sz w:val="32"/>
          <w:szCs w:val="32"/>
          <w:highlight w:val="none"/>
          <w:lang w:val="en-US" w:eastAsia="zh-CN"/>
        </w:rPr>
        <w:t>审批</w:t>
      </w:r>
      <w:r>
        <w:rPr>
          <w:rFonts w:ascii="仿宋_GB2312" w:hAnsi="仿宋_GB2312" w:eastAsia="楷体_GB2312"/>
          <w:color w:val="auto"/>
          <w:sz w:val="32"/>
          <w:szCs w:val="32"/>
          <w:highlight w:val="none"/>
        </w:rPr>
        <w:t>流程。</w:t>
      </w:r>
      <w:r>
        <w:rPr>
          <w:rFonts w:hint="eastAsia" w:ascii="仿宋_GB2312" w:hAnsi="仿宋_GB2312" w:eastAsia="楷体_GB2312"/>
          <w:color w:val="auto"/>
          <w:sz w:val="32"/>
          <w:szCs w:val="32"/>
          <w:highlight w:val="none"/>
          <w:lang w:val="en-US" w:eastAsia="zh-CN"/>
        </w:rPr>
        <w:t>7</w:t>
      </w:r>
      <w:r>
        <w:rPr>
          <w:rFonts w:hint="default" w:ascii="仿宋_GB2312" w:hAnsi="仿宋_GB2312" w:eastAsia="仿宋_GB2312" w:cs="Times New Roman"/>
          <w:color w:val="auto"/>
          <w:sz w:val="32"/>
          <w:szCs w:val="32"/>
          <w:highlight w:val="none"/>
          <w:lang w:val="en-US" w:eastAsia="zh-CN"/>
        </w:rPr>
        <w:t>月底前</w:t>
      </w:r>
      <w:r>
        <w:rPr>
          <w:rFonts w:hint="eastAsia" w:ascii="仿宋_GB2312" w:hAnsi="仿宋_GB2312" w:eastAsia="仿宋_GB2312" w:cs="Times New Roman"/>
          <w:color w:val="auto"/>
          <w:sz w:val="32"/>
          <w:szCs w:val="32"/>
          <w:highlight w:val="none"/>
          <w:lang w:val="en-US" w:eastAsia="zh-CN"/>
        </w:rPr>
        <w:t>，</w:t>
      </w:r>
      <w:r>
        <w:rPr>
          <w:rFonts w:hint="eastAsia" w:ascii="仿宋_GB2312" w:hAnsi="仿宋_GB2312" w:eastAsia="仿宋_GB2312" w:cs="Times New Roman"/>
          <w:color w:val="auto"/>
          <w:kern w:val="2"/>
          <w:sz w:val="32"/>
          <w:szCs w:val="32"/>
          <w:highlight w:val="none"/>
          <w:lang w:val="en-US" w:eastAsia="zh-CN"/>
        </w:rPr>
        <w:t>各级各部门</w:t>
      </w:r>
      <w:r>
        <w:rPr>
          <w:rFonts w:hint="default" w:ascii="仿宋_GB2312" w:hAnsi="仿宋_GB2312" w:eastAsia="仿宋_GB2312" w:cs="Times New Roman"/>
          <w:color w:val="auto"/>
          <w:kern w:val="2"/>
          <w:sz w:val="32"/>
          <w:szCs w:val="32"/>
          <w:highlight w:val="none"/>
        </w:rPr>
        <w:t>围绕</w:t>
      </w:r>
      <w:r>
        <w:rPr>
          <w:rFonts w:hint="eastAsia" w:ascii="仿宋_GB2312" w:hAnsi="仿宋_GB2312" w:eastAsia="仿宋_GB2312" w:cs="Times New Roman"/>
          <w:color w:val="auto"/>
          <w:kern w:val="2"/>
          <w:sz w:val="32"/>
          <w:szCs w:val="32"/>
          <w:highlight w:val="none"/>
          <w:lang w:eastAsia="zh-CN"/>
        </w:rPr>
        <w:t>“</w:t>
      </w:r>
      <w:r>
        <w:rPr>
          <w:rFonts w:hint="default" w:ascii="仿宋_GB2312" w:hAnsi="仿宋_GB2312" w:eastAsia="仿宋_GB2312" w:cs="Times New Roman"/>
          <w:color w:val="auto"/>
          <w:kern w:val="2"/>
          <w:sz w:val="32"/>
          <w:szCs w:val="32"/>
          <w:highlight w:val="none"/>
        </w:rPr>
        <w:t>双全双百</w:t>
      </w:r>
      <w:r>
        <w:rPr>
          <w:rFonts w:hint="eastAsia" w:ascii="仿宋_GB2312" w:hAnsi="仿宋_GB2312" w:eastAsia="仿宋_GB2312" w:cs="Times New Roman"/>
          <w:color w:val="auto"/>
          <w:kern w:val="2"/>
          <w:sz w:val="32"/>
          <w:szCs w:val="32"/>
          <w:highlight w:val="none"/>
          <w:lang w:eastAsia="zh-CN"/>
        </w:rPr>
        <w:t>”</w:t>
      </w:r>
      <w:r>
        <w:rPr>
          <w:rFonts w:hint="default" w:ascii="仿宋_GB2312" w:hAnsi="仿宋_GB2312" w:eastAsia="仿宋_GB2312" w:cs="Times New Roman"/>
          <w:color w:val="auto"/>
          <w:kern w:val="2"/>
          <w:sz w:val="32"/>
          <w:szCs w:val="32"/>
          <w:highlight w:val="none"/>
        </w:rPr>
        <w:t>事项清单</w:t>
      </w:r>
      <w:r>
        <w:rPr>
          <w:rFonts w:hint="eastAsia" w:ascii="仿宋_GB2312" w:hAnsi="仿宋_GB2312" w:eastAsia="仿宋_GB2312" w:cs="Times New Roman"/>
          <w:color w:val="auto"/>
          <w:kern w:val="2"/>
          <w:sz w:val="32"/>
          <w:szCs w:val="32"/>
          <w:highlight w:val="none"/>
          <w:lang w:eastAsia="zh-CN"/>
        </w:rPr>
        <w:t>，</w:t>
      </w:r>
      <w:r>
        <w:rPr>
          <w:rFonts w:hint="eastAsia" w:ascii="仿宋_GB2312" w:hAnsi="仿宋_GB2312" w:eastAsia="仿宋_GB2312" w:cs="Times New Roman"/>
          <w:color w:val="auto"/>
          <w:kern w:val="2"/>
          <w:sz w:val="32"/>
          <w:szCs w:val="32"/>
          <w:highlight w:val="none"/>
          <w:lang w:val="en-US" w:eastAsia="zh-CN"/>
        </w:rPr>
        <w:t>结合我区实际，主动对标先进，</w:t>
      </w:r>
      <w:r>
        <w:rPr>
          <w:rFonts w:hint="default" w:ascii="仿宋_GB2312" w:hAnsi="仿宋_GB2312" w:eastAsia="仿宋_GB2312" w:cs="Times New Roman"/>
          <w:color w:val="auto"/>
          <w:kern w:val="2"/>
          <w:sz w:val="32"/>
          <w:szCs w:val="32"/>
          <w:highlight w:val="none"/>
        </w:rPr>
        <w:t>优化</w:t>
      </w:r>
      <w:r>
        <w:rPr>
          <w:rFonts w:hint="eastAsia" w:ascii="仿宋_GB2312" w:hAnsi="仿宋_GB2312" w:eastAsia="仿宋_GB2312" w:cs="Times New Roman"/>
          <w:color w:val="auto"/>
          <w:kern w:val="2"/>
          <w:sz w:val="32"/>
          <w:szCs w:val="32"/>
          <w:highlight w:val="none"/>
          <w:lang w:val="en-US" w:eastAsia="zh-CN"/>
        </w:rPr>
        <w:t>审批</w:t>
      </w:r>
      <w:r>
        <w:rPr>
          <w:rFonts w:hint="default" w:ascii="仿宋_GB2312" w:hAnsi="仿宋_GB2312" w:eastAsia="仿宋_GB2312" w:cs="Times New Roman"/>
          <w:color w:val="auto"/>
          <w:kern w:val="2"/>
          <w:sz w:val="32"/>
          <w:szCs w:val="32"/>
          <w:highlight w:val="none"/>
        </w:rPr>
        <w:t>流程</w:t>
      </w:r>
      <w:r>
        <w:rPr>
          <w:rFonts w:hint="eastAsia" w:ascii="仿宋_GB2312" w:hAnsi="仿宋_GB2312" w:eastAsia="仿宋_GB2312" w:cs="Times New Roman"/>
          <w:color w:val="auto"/>
          <w:kern w:val="2"/>
          <w:sz w:val="32"/>
          <w:szCs w:val="32"/>
          <w:highlight w:val="none"/>
          <w:lang w:eastAsia="zh-CN"/>
        </w:rPr>
        <w:t>，</w:t>
      </w:r>
      <w:r>
        <w:rPr>
          <w:rFonts w:hint="eastAsia" w:ascii="仿宋_GB2312" w:hAnsi="仿宋_GB2312" w:eastAsia="仿宋_GB2312" w:cs="Times New Roman"/>
          <w:color w:val="auto"/>
          <w:kern w:val="2"/>
          <w:sz w:val="32"/>
          <w:szCs w:val="32"/>
          <w:highlight w:val="none"/>
          <w:lang w:val="en-US" w:eastAsia="zh-CN"/>
        </w:rPr>
        <w:t>对</w:t>
      </w:r>
      <w:r>
        <w:rPr>
          <w:rFonts w:hint="default" w:ascii="仿宋_GB2312" w:hAnsi="仿宋_GB2312" w:eastAsia="仿宋_GB2312" w:cs="Times New Roman"/>
          <w:color w:val="auto"/>
          <w:kern w:val="2"/>
          <w:sz w:val="32"/>
          <w:szCs w:val="32"/>
          <w:highlight w:val="none"/>
        </w:rPr>
        <w:t>本系统本领域有关事项</w:t>
      </w:r>
      <w:r>
        <w:rPr>
          <w:rFonts w:hint="eastAsia" w:ascii="仿宋_GB2312" w:hAnsi="仿宋_GB2312" w:eastAsia="仿宋_GB2312" w:cs="Times New Roman"/>
          <w:color w:val="auto"/>
          <w:kern w:val="2"/>
          <w:sz w:val="32"/>
          <w:szCs w:val="32"/>
          <w:highlight w:val="none"/>
          <w:lang w:val="en-US" w:eastAsia="zh-CN"/>
        </w:rPr>
        <w:t>实施减环节、减材料、减时限，</w:t>
      </w:r>
      <w:r>
        <w:rPr>
          <w:rFonts w:hint="default" w:ascii="仿宋_GB2312" w:hAnsi="仿宋_GB2312" w:eastAsia="仿宋_GB2312" w:cs="Times New Roman"/>
          <w:color w:val="auto"/>
          <w:kern w:val="2"/>
          <w:sz w:val="32"/>
          <w:szCs w:val="32"/>
          <w:highlight w:val="none"/>
        </w:rPr>
        <w:t>依托山东省政务服务事项管理系统</w:t>
      </w:r>
      <w:r>
        <w:rPr>
          <w:rFonts w:hint="eastAsia" w:ascii="仿宋_GB2312" w:hAnsi="仿宋_GB2312" w:eastAsia="仿宋_GB2312" w:cs="Times New Roman"/>
          <w:color w:val="auto"/>
          <w:kern w:val="2"/>
          <w:sz w:val="32"/>
          <w:szCs w:val="32"/>
          <w:highlight w:val="none"/>
          <w:lang w:eastAsia="zh-CN"/>
        </w:rPr>
        <w:t>，</w:t>
      </w:r>
      <w:r>
        <w:rPr>
          <w:rFonts w:hint="default" w:ascii="仿宋_GB2312" w:hAnsi="仿宋_GB2312" w:eastAsia="仿宋_GB2312" w:cs="Times New Roman"/>
          <w:color w:val="auto"/>
          <w:kern w:val="2"/>
          <w:sz w:val="32"/>
          <w:szCs w:val="32"/>
          <w:highlight w:val="none"/>
        </w:rPr>
        <w:t>对事</w:t>
      </w:r>
      <w:r>
        <w:rPr>
          <w:rFonts w:hint="default" w:ascii="仿宋_GB2312" w:hAnsi="仿宋_GB2312" w:eastAsia="仿宋_GB2312" w:cs="Times New Roman"/>
          <w:color w:val="auto"/>
          <w:kern w:val="2"/>
          <w:sz w:val="32"/>
          <w:szCs w:val="32"/>
          <w:highlight w:val="none"/>
          <w:lang w:bidi="ar"/>
        </w:rPr>
        <w:t>项要素实施动态调整。</w:t>
      </w:r>
      <w:r>
        <w:rPr>
          <w:rFonts w:hint="default" w:ascii="仿宋_GB2312" w:hAnsi="仿宋_GB2312" w:eastAsia="仿宋_GB2312" w:cs="Times New Roman"/>
          <w:color w:val="auto"/>
          <w:kern w:val="2"/>
          <w:sz w:val="32"/>
          <w:szCs w:val="32"/>
          <w:highlight w:val="none"/>
          <w:lang w:val="en-US" w:eastAsia="zh-CN" w:bidi="ar"/>
        </w:rPr>
        <w:t>持续</w:t>
      </w:r>
      <w:r>
        <w:rPr>
          <w:rFonts w:hint="default" w:ascii="仿宋_GB2312" w:hAnsi="仿宋_GB2312" w:eastAsia="仿宋_GB2312" w:cs="Times New Roman"/>
          <w:color w:val="auto"/>
          <w:sz w:val="32"/>
          <w:szCs w:val="32"/>
          <w:highlight w:val="none"/>
        </w:rPr>
        <w:t>推动申请材料、审查要点标准化</w:t>
      </w:r>
      <w:r>
        <w:rPr>
          <w:rFonts w:hint="eastAsia" w:ascii="仿宋_GB2312" w:hAnsi="仿宋_GB2312" w:eastAsia="仿宋_GB2312" w:cs="Times New Roman"/>
          <w:color w:val="auto"/>
          <w:sz w:val="32"/>
          <w:szCs w:val="32"/>
          <w:highlight w:val="none"/>
          <w:lang w:eastAsia="zh-CN"/>
        </w:rPr>
        <w:t>，</w:t>
      </w:r>
      <w:r>
        <w:rPr>
          <w:rFonts w:hint="default" w:ascii="仿宋_GB2312" w:hAnsi="仿宋_GB2312" w:eastAsia="仿宋_GB2312" w:cs="Times New Roman"/>
          <w:color w:val="auto"/>
          <w:sz w:val="32"/>
          <w:szCs w:val="32"/>
          <w:highlight w:val="none"/>
        </w:rPr>
        <w:t>推进申请、受理、审批、发证、归档全</w:t>
      </w:r>
      <w:r>
        <w:rPr>
          <w:rFonts w:hint="eastAsia" w:ascii="仿宋_GB2312" w:hAnsi="仿宋_GB2312" w:eastAsia="仿宋_GB2312" w:cs="Times New Roman"/>
          <w:color w:val="auto"/>
          <w:sz w:val="32"/>
          <w:szCs w:val="32"/>
          <w:highlight w:val="none"/>
          <w:lang w:val="en-US" w:eastAsia="zh-CN"/>
        </w:rPr>
        <w:t>流</w:t>
      </w:r>
      <w:r>
        <w:rPr>
          <w:rFonts w:hint="default" w:ascii="仿宋_GB2312" w:hAnsi="仿宋_GB2312" w:eastAsia="仿宋_GB2312" w:cs="Times New Roman"/>
          <w:color w:val="auto"/>
          <w:sz w:val="32"/>
          <w:szCs w:val="32"/>
          <w:highlight w:val="none"/>
        </w:rPr>
        <w:t>程电子化</w:t>
      </w:r>
      <w:r>
        <w:rPr>
          <w:rFonts w:hint="eastAsia" w:ascii="仿宋_GB2312" w:hAnsi="仿宋_GB2312" w:eastAsia="仿宋_GB2312" w:cs="Times New Roman"/>
          <w:color w:val="auto"/>
          <w:sz w:val="32"/>
          <w:szCs w:val="32"/>
          <w:highlight w:val="none"/>
          <w:lang w:eastAsia="zh-CN"/>
        </w:rPr>
        <w:t>，</w:t>
      </w:r>
      <w:r>
        <w:rPr>
          <w:rFonts w:hint="default" w:ascii="仿宋_GB2312" w:hAnsi="仿宋_GB2312" w:eastAsia="仿宋_GB2312" w:cs="Times New Roman"/>
          <w:color w:val="auto"/>
          <w:sz w:val="32"/>
          <w:szCs w:val="32"/>
          <w:highlight w:val="none"/>
          <w:lang w:val="en-US" w:eastAsia="zh-CN"/>
        </w:rPr>
        <w:t>12月底前</w:t>
      </w:r>
      <w:r>
        <w:rPr>
          <w:rFonts w:hint="eastAsia" w:ascii="仿宋_GB2312" w:hAnsi="仿宋_GB2312" w:eastAsia="仿宋_GB2312" w:cs="Times New Roman"/>
          <w:color w:val="auto"/>
          <w:sz w:val="32"/>
          <w:szCs w:val="32"/>
          <w:highlight w:val="none"/>
          <w:lang w:val="en-US" w:eastAsia="zh-CN"/>
        </w:rPr>
        <w:t>，推动</w:t>
      </w:r>
      <w:r>
        <w:rPr>
          <w:rFonts w:hint="default" w:ascii="仿宋_GB2312" w:hAnsi="仿宋_GB2312" w:eastAsia="仿宋_GB2312" w:cs="Times New Roman"/>
          <w:color w:val="auto"/>
          <w:sz w:val="32"/>
          <w:szCs w:val="32"/>
          <w:highlight w:val="none"/>
        </w:rPr>
        <w:t>实现更多事项</w:t>
      </w:r>
      <w:r>
        <w:rPr>
          <w:rFonts w:hint="eastAsia" w:ascii="仿宋_GB2312" w:hAnsi="仿宋_GB2312" w:eastAsia="仿宋_GB2312" w:cs="Times New Roman"/>
          <w:color w:val="auto"/>
          <w:sz w:val="32"/>
          <w:szCs w:val="32"/>
          <w:highlight w:val="none"/>
          <w:lang w:eastAsia="zh-CN"/>
        </w:rPr>
        <w:t>“</w:t>
      </w:r>
      <w:r>
        <w:rPr>
          <w:rFonts w:hint="default" w:ascii="仿宋_GB2312" w:hAnsi="仿宋_GB2312" w:eastAsia="仿宋_GB2312" w:cs="Times New Roman"/>
          <w:color w:val="auto"/>
          <w:sz w:val="32"/>
          <w:szCs w:val="32"/>
          <w:highlight w:val="none"/>
        </w:rPr>
        <w:t>秒批秒办</w:t>
      </w:r>
      <w:r>
        <w:rPr>
          <w:rFonts w:hint="eastAsia" w:ascii="仿宋_GB2312" w:hAnsi="仿宋_GB2312" w:eastAsia="仿宋_GB2312" w:cs="Times New Roman"/>
          <w:color w:val="auto"/>
          <w:sz w:val="32"/>
          <w:szCs w:val="32"/>
          <w:highlight w:val="none"/>
          <w:lang w:eastAsia="zh-CN"/>
        </w:rPr>
        <w:t>”“</w:t>
      </w:r>
      <w:r>
        <w:rPr>
          <w:rFonts w:hint="default" w:ascii="仿宋_GB2312" w:hAnsi="仿宋_GB2312" w:eastAsia="仿宋_GB2312" w:cs="Times New Roman"/>
          <w:color w:val="auto"/>
          <w:sz w:val="32"/>
          <w:szCs w:val="32"/>
          <w:highlight w:val="none"/>
        </w:rPr>
        <w:t>无感</w:t>
      </w:r>
      <w:r>
        <w:rPr>
          <w:rFonts w:hint="eastAsia" w:ascii="仿宋_GB2312" w:hAnsi="仿宋_GB2312" w:eastAsia="仿宋_GB2312" w:cs="Times New Roman"/>
          <w:color w:val="auto"/>
          <w:sz w:val="32"/>
          <w:szCs w:val="32"/>
          <w:highlight w:val="none"/>
          <w:lang w:val="en-US" w:eastAsia="zh-CN"/>
        </w:rPr>
        <w:t>智办</w:t>
      </w:r>
      <w:r>
        <w:rPr>
          <w:rFonts w:hint="eastAsia" w:ascii="仿宋_GB2312" w:hAnsi="仿宋_GB2312" w:eastAsia="仿宋_GB2312" w:cs="Times New Roman"/>
          <w:color w:val="auto"/>
          <w:sz w:val="32"/>
          <w:szCs w:val="32"/>
          <w:highlight w:val="none"/>
          <w:lang w:eastAsia="zh-CN"/>
        </w:rPr>
        <w:t>”</w:t>
      </w:r>
      <w:r>
        <w:rPr>
          <w:rFonts w:hint="default" w:ascii="仿宋_GB2312" w:hAnsi="仿宋_GB2312" w:eastAsia="仿宋_GB2312" w:cs="Times New Roman"/>
          <w:color w:val="auto"/>
          <w:sz w:val="32"/>
          <w:szCs w:val="32"/>
          <w:highlight w:val="none"/>
        </w:rPr>
        <w:t>。</w:t>
      </w:r>
      <w:r>
        <w:rPr>
          <w:rFonts w:ascii="仿宋_GB2312" w:hAnsi="仿宋_GB2312" w:eastAsia="楷体_GB2312"/>
          <w:color w:val="auto"/>
          <w:kern w:val="2"/>
          <w:sz w:val="32"/>
          <w:szCs w:val="32"/>
          <w:highlight w:val="none"/>
        </w:rPr>
        <w:t>（</w:t>
      </w:r>
      <w:r>
        <w:rPr>
          <w:rFonts w:hint="eastAsia" w:ascii="仿宋_GB2312" w:hAnsi="仿宋_GB2312" w:eastAsia="楷体_GB2312"/>
          <w:color w:val="auto"/>
          <w:kern w:val="2"/>
          <w:sz w:val="32"/>
          <w:szCs w:val="32"/>
          <w:highlight w:val="none"/>
          <w:lang w:val="en-US" w:eastAsia="zh-CN"/>
        </w:rPr>
        <w:t>区政府各</w:t>
      </w:r>
      <w:r>
        <w:rPr>
          <w:rFonts w:ascii="仿宋_GB2312" w:hAnsi="仿宋_GB2312" w:eastAsia="楷体_GB2312"/>
          <w:color w:val="auto"/>
          <w:kern w:val="2"/>
          <w:sz w:val="32"/>
          <w:szCs w:val="32"/>
          <w:highlight w:val="none"/>
        </w:rPr>
        <w:t>有关部门</w:t>
      </w:r>
      <w:r>
        <w:rPr>
          <w:rFonts w:hint="eastAsia" w:ascii="仿宋_GB2312" w:hAnsi="仿宋_GB2312" w:eastAsia="楷体_GB2312"/>
          <w:color w:val="auto"/>
          <w:kern w:val="2"/>
          <w:sz w:val="32"/>
          <w:szCs w:val="32"/>
          <w:highlight w:val="none"/>
          <w:lang w:eastAsia="zh-CN"/>
        </w:rPr>
        <w:t>，</w:t>
      </w:r>
      <w:r>
        <w:rPr>
          <w:rFonts w:hint="eastAsia" w:ascii="仿宋_GB2312" w:hAnsi="仿宋_GB2312" w:eastAsia="楷体_GB2312"/>
          <w:color w:val="auto"/>
          <w:kern w:val="2"/>
          <w:sz w:val="32"/>
          <w:szCs w:val="32"/>
          <w:highlight w:val="none"/>
          <w:lang w:val="en-US" w:eastAsia="zh-CN"/>
        </w:rPr>
        <w:t>各镇人民政府、街道办事处</w:t>
      </w:r>
      <w:r>
        <w:rPr>
          <w:rFonts w:ascii="仿宋_GB2312" w:hAnsi="仿宋_GB2312" w:eastAsia="楷体_GB2312"/>
          <w:color w:val="auto"/>
          <w:kern w:val="2"/>
          <w:sz w:val="32"/>
          <w:szCs w:val="32"/>
          <w:highlight w:val="none"/>
        </w:rPr>
        <w:t>）</w:t>
      </w:r>
    </w:p>
    <w:p>
      <w:pPr>
        <w:pStyle w:val="5"/>
        <w:keepNext w:val="0"/>
        <w:keepLines w:val="0"/>
        <w:pageBreakBefore w:val="0"/>
        <w:kinsoku/>
        <w:wordWrap/>
        <w:overflowPunct/>
        <w:topLinePunct w:val="0"/>
        <w:autoSpaceDN/>
        <w:bidi w:val="0"/>
        <w:adjustRightInd w:val="0"/>
        <w:snapToGrid w:val="0"/>
        <w:spacing w:before="0" w:beforeAutospacing="0" w:after="0" w:afterAutospacing="0" w:line="576" w:lineRule="exact"/>
        <w:ind w:firstLine="600"/>
        <w:jc w:val="both"/>
        <w:textAlignment w:val="auto"/>
        <w:rPr>
          <w:rFonts w:ascii="仿宋_GB2312" w:hAnsi="仿宋_GB2312" w:eastAsia="楷体_GB2312"/>
          <w:color w:val="auto"/>
          <w:kern w:val="2"/>
          <w:sz w:val="32"/>
          <w:szCs w:val="32"/>
          <w:highlight w:val="none"/>
        </w:rPr>
      </w:pPr>
      <w:r>
        <w:rPr>
          <w:rFonts w:ascii="仿宋_GB2312" w:hAnsi="仿宋_GB2312" w:eastAsia="楷体_GB2312"/>
          <w:color w:val="auto"/>
          <w:kern w:val="2"/>
          <w:sz w:val="32"/>
          <w:szCs w:val="32"/>
          <w:highlight w:val="none"/>
        </w:rPr>
        <w:t>（</w:t>
      </w:r>
      <w:r>
        <w:rPr>
          <w:rFonts w:hint="eastAsia" w:ascii="仿宋_GB2312" w:hAnsi="仿宋_GB2312" w:eastAsia="楷体_GB2312"/>
          <w:color w:val="auto"/>
          <w:kern w:val="2"/>
          <w:sz w:val="32"/>
          <w:szCs w:val="32"/>
          <w:highlight w:val="none"/>
          <w:lang w:val="en-US" w:eastAsia="zh-CN"/>
        </w:rPr>
        <w:t>二</w:t>
      </w:r>
      <w:r>
        <w:rPr>
          <w:rFonts w:ascii="仿宋_GB2312" w:hAnsi="仿宋_GB2312" w:eastAsia="楷体_GB2312"/>
          <w:color w:val="auto"/>
          <w:kern w:val="2"/>
          <w:sz w:val="32"/>
          <w:szCs w:val="32"/>
          <w:highlight w:val="none"/>
        </w:rPr>
        <w:t>）</w:t>
      </w:r>
      <w:r>
        <w:rPr>
          <w:rFonts w:hint="eastAsia" w:ascii="仿宋_GB2312" w:hAnsi="仿宋_GB2312" w:eastAsia="楷体_GB2312"/>
          <w:color w:val="auto"/>
          <w:kern w:val="2"/>
          <w:sz w:val="32"/>
          <w:szCs w:val="32"/>
          <w:highlight w:val="none"/>
          <w:lang w:val="en-US" w:eastAsia="zh-CN"/>
        </w:rPr>
        <w:t>规范编制事项办事指南和工作规程</w:t>
      </w:r>
      <w:r>
        <w:rPr>
          <w:rFonts w:ascii="仿宋_GB2312" w:hAnsi="仿宋_GB2312" w:eastAsia="楷体_GB2312"/>
          <w:color w:val="auto"/>
          <w:kern w:val="2"/>
          <w:sz w:val="32"/>
          <w:szCs w:val="32"/>
          <w:highlight w:val="none"/>
        </w:rPr>
        <w:t>。</w:t>
      </w:r>
      <w:r>
        <w:rPr>
          <w:rFonts w:hint="eastAsia" w:ascii="仿宋_GB2312" w:hAnsi="仿宋_GB2312" w:eastAsia="仿宋_GB2312"/>
          <w:color w:val="auto"/>
          <w:kern w:val="2"/>
          <w:sz w:val="32"/>
          <w:szCs w:val="32"/>
          <w:highlight w:val="none"/>
          <w:lang w:val="en-US" w:eastAsia="zh-CN"/>
        </w:rPr>
        <w:t>各</w:t>
      </w:r>
      <w:r>
        <w:rPr>
          <w:rFonts w:ascii="仿宋_GB2312" w:hAnsi="仿宋_GB2312" w:eastAsia="仿宋_GB2312"/>
          <w:color w:val="auto"/>
          <w:kern w:val="2"/>
          <w:sz w:val="32"/>
          <w:szCs w:val="32"/>
          <w:highlight w:val="none"/>
        </w:rPr>
        <w:t>牵头部门组织协同部门</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按照优化的</w:t>
      </w:r>
      <w:r>
        <w:rPr>
          <w:rFonts w:hint="eastAsia" w:ascii="仿宋_GB2312" w:hAnsi="仿宋_GB2312" w:eastAsia="仿宋_GB2312"/>
          <w:color w:val="auto"/>
          <w:kern w:val="2"/>
          <w:sz w:val="32"/>
          <w:szCs w:val="32"/>
          <w:highlight w:val="none"/>
          <w:lang w:val="en-US" w:eastAsia="zh-CN"/>
        </w:rPr>
        <w:t>审批</w:t>
      </w:r>
      <w:r>
        <w:rPr>
          <w:rFonts w:ascii="仿宋_GB2312" w:hAnsi="仿宋_GB2312" w:eastAsia="仿宋_GB2312"/>
          <w:color w:val="auto"/>
          <w:kern w:val="2"/>
          <w:sz w:val="32"/>
          <w:szCs w:val="32"/>
          <w:highlight w:val="none"/>
        </w:rPr>
        <w:t>流程</w:t>
      </w:r>
      <w:r>
        <w:rPr>
          <w:rFonts w:hint="eastAsia" w:ascii="仿宋_GB2312" w:hAnsi="仿宋_GB2312" w:eastAsia="仿宋_GB2312"/>
          <w:color w:val="auto"/>
          <w:kern w:val="2"/>
          <w:sz w:val="32"/>
          <w:szCs w:val="32"/>
          <w:highlight w:val="none"/>
          <w:lang w:eastAsia="zh-CN"/>
        </w:rPr>
        <w:t>，</w:t>
      </w:r>
      <w:r>
        <w:rPr>
          <w:rFonts w:hint="eastAsia" w:ascii="仿宋_GB2312" w:hAnsi="仿宋_GB2312" w:eastAsia="仿宋_GB2312"/>
          <w:color w:val="auto"/>
          <w:kern w:val="2"/>
          <w:sz w:val="32"/>
          <w:szCs w:val="32"/>
          <w:highlight w:val="none"/>
          <w:lang w:val="en-US" w:eastAsia="zh-CN"/>
        </w:rPr>
        <w:t>积极对上衔接、争取试点，结合政务服务事项标准化提升工作，7月底前，结合市级主管部门要求，规范编制完成</w:t>
      </w:r>
      <w:r>
        <w:rPr>
          <w:rFonts w:ascii="仿宋_GB2312" w:hAnsi="仿宋_GB2312" w:eastAsia="仿宋_GB2312"/>
          <w:color w:val="auto"/>
          <w:kern w:val="2"/>
          <w:sz w:val="32"/>
          <w:szCs w:val="32"/>
          <w:highlight w:val="none"/>
        </w:rPr>
        <w:t>工作</w:t>
      </w:r>
      <w:r>
        <w:rPr>
          <w:rFonts w:hint="eastAsia" w:ascii="仿宋_GB2312" w:hAnsi="仿宋_GB2312" w:eastAsia="仿宋_GB2312"/>
          <w:color w:val="auto"/>
          <w:kern w:val="2"/>
          <w:sz w:val="32"/>
          <w:szCs w:val="32"/>
          <w:highlight w:val="none"/>
          <w:lang w:val="en-US" w:eastAsia="zh-CN"/>
        </w:rPr>
        <w:t>规程</w:t>
      </w:r>
      <w:r>
        <w:rPr>
          <w:rFonts w:ascii="仿宋_GB2312" w:hAnsi="仿宋_GB2312" w:eastAsia="仿宋_GB2312"/>
          <w:color w:val="auto"/>
          <w:kern w:val="2"/>
          <w:sz w:val="32"/>
          <w:szCs w:val="32"/>
          <w:highlight w:val="none"/>
        </w:rPr>
        <w:t>和</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零基础</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标准化办事指南</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基本实现同一事项在</w:t>
      </w:r>
      <w:r>
        <w:rPr>
          <w:rFonts w:hint="eastAsia" w:ascii="仿宋_GB2312" w:hAnsi="仿宋_GB2312" w:eastAsia="仿宋_GB2312"/>
          <w:color w:val="auto"/>
          <w:kern w:val="2"/>
          <w:sz w:val="32"/>
          <w:szCs w:val="32"/>
          <w:highlight w:val="none"/>
          <w:lang w:val="en-US" w:eastAsia="zh-CN"/>
        </w:rPr>
        <w:t>全市</w:t>
      </w:r>
      <w:r>
        <w:rPr>
          <w:rFonts w:ascii="仿宋_GB2312" w:hAnsi="仿宋_GB2312" w:eastAsia="仿宋_GB2312"/>
          <w:color w:val="auto"/>
          <w:kern w:val="2"/>
          <w:sz w:val="32"/>
          <w:szCs w:val="32"/>
          <w:highlight w:val="none"/>
        </w:rPr>
        <w:t>无差别受理、同标准办理</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推动更多事项</w:t>
      </w:r>
      <w:r>
        <w:rPr>
          <w:rFonts w:hint="eastAsia" w:ascii="仿宋_GB2312" w:hAnsi="仿宋_GB2312" w:eastAsia="仿宋_GB2312"/>
          <w:color w:val="auto"/>
          <w:kern w:val="2"/>
          <w:sz w:val="32"/>
          <w:szCs w:val="32"/>
          <w:highlight w:val="none"/>
          <w:lang w:val="en-US" w:eastAsia="zh-CN"/>
        </w:rPr>
        <w:t>市域通办、全省通办</w:t>
      </w:r>
      <w:r>
        <w:rPr>
          <w:rFonts w:ascii="仿宋_GB2312" w:hAnsi="仿宋_GB2312" w:eastAsia="仿宋_GB2312"/>
          <w:color w:val="auto"/>
          <w:kern w:val="2"/>
          <w:sz w:val="32"/>
          <w:szCs w:val="32"/>
          <w:highlight w:val="none"/>
        </w:rPr>
        <w:t>。</w:t>
      </w:r>
      <w:r>
        <w:rPr>
          <w:rFonts w:ascii="仿宋_GB2312" w:hAnsi="仿宋_GB2312" w:eastAsia="楷体_GB2312"/>
          <w:color w:val="auto"/>
          <w:kern w:val="2"/>
          <w:sz w:val="32"/>
          <w:szCs w:val="32"/>
          <w:highlight w:val="none"/>
        </w:rPr>
        <w:t>（</w:t>
      </w:r>
      <w:r>
        <w:rPr>
          <w:rFonts w:hint="eastAsia" w:ascii="仿宋_GB2312" w:hAnsi="仿宋_GB2312" w:eastAsia="楷体_GB2312"/>
          <w:color w:val="auto"/>
          <w:kern w:val="2"/>
          <w:sz w:val="32"/>
          <w:szCs w:val="32"/>
          <w:highlight w:val="none"/>
          <w:lang w:val="en-US" w:eastAsia="zh-CN"/>
        </w:rPr>
        <w:t>责任分工见附件1、2</w:t>
      </w:r>
      <w:r>
        <w:rPr>
          <w:rFonts w:ascii="仿宋_GB2312" w:hAnsi="仿宋_GB2312" w:eastAsia="楷体_GB2312"/>
          <w:color w:val="auto"/>
          <w:kern w:val="2"/>
          <w:sz w:val="32"/>
          <w:szCs w:val="32"/>
          <w:highlight w:val="none"/>
        </w:rPr>
        <w:t>）</w:t>
      </w:r>
    </w:p>
    <w:p>
      <w:pPr>
        <w:pStyle w:val="5"/>
        <w:keepNext w:val="0"/>
        <w:keepLines w:val="0"/>
        <w:pageBreakBefore w:val="0"/>
        <w:kinsoku/>
        <w:wordWrap/>
        <w:overflowPunct/>
        <w:topLinePunct w:val="0"/>
        <w:autoSpaceDN/>
        <w:bidi w:val="0"/>
        <w:adjustRightInd w:val="0"/>
        <w:snapToGrid w:val="0"/>
        <w:spacing w:before="0" w:beforeAutospacing="0" w:after="0" w:afterAutospacing="0" w:line="576" w:lineRule="exact"/>
        <w:ind w:firstLine="600"/>
        <w:jc w:val="both"/>
        <w:textAlignment w:val="auto"/>
        <w:rPr>
          <w:rFonts w:ascii="仿宋_GB2312" w:hAnsi="仿宋_GB2312" w:eastAsia="楷体_GB2312"/>
          <w:color w:val="auto"/>
          <w:kern w:val="2"/>
          <w:sz w:val="32"/>
          <w:szCs w:val="32"/>
          <w:highlight w:val="none"/>
        </w:rPr>
      </w:pPr>
      <w:r>
        <w:rPr>
          <w:rFonts w:ascii="仿宋_GB2312" w:hAnsi="仿宋_GB2312" w:eastAsia="楷体_GB2312"/>
          <w:color w:val="auto"/>
          <w:kern w:val="2"/>
          <w:sz w:val="32"/>
          <w:szCs w:val="32"/>
          <w:highlight w:val="none"/>
        </w:rPr>
        <w:t>（</w:t>
      </w:r>
      <w:r>
        <w:rPr>
          <w:rFonts w:hint="eastAsia" w:ascii="仿宋_GB2312" w:hAnsi="仿宋_GB2312" w:eastAsia="楷体_GB2312"/>
          <w:color w:val="auto"/>
          <w:kern w:val="2"/>
          <w:sz w:val="32"/>
          <w:szCs w:val="32"/>
          <w:highlight w:val="none"/>
          <w:lang w:val="en-US" w:eastAsia="zh-CN"/>
        </w:rPr>
        <w:t>三</w:t>
      </w:r>
      <w:r>
        <w:rPr>
          <w:rFonts w:ascii="仿宋_GB2312" w:hAnsi="仿宋_GB2312" w:eastAsia="楷体_GB2312"/>
          <w:color w:val="auto"/>
          <w:kern w:val="2"/>
          <w:sz w:val="32"/>
          <w:szCs w:val="32"/>
          <w:highlight w:val="none"/>
        </w:rPr>
        <w:t>）</w:t>
      </w:r>
      <w:r>
        <w:rPr>
          <w:rFonts w:hint="eastAsia" w:ascii="仿宋_GB2312" w:hAnsi="仿宋_GB2312" w:eastAsia="楷体_GB2312"/>
          <w:color w:val="auto"/>
          <w:kern w:val="2"/>
          <w:sz w:val="32"/>
          <w:szCs w:val="32"/>
          <w:highlight w:val="none"/>
          <w:lang w:val="en-US" w:eastAsia="zh-CN"/>
        </w:rPr>
        <w:t>拓展</w:t>
      </w:r>
      <w:r>
        <w:rPr>
          <w:rFonts w:ascii="仿宋_GB2312" w:hAnsi="仿宋_GB2312" w:eastAsia="楷体_GB2312"/>
          <w:color w:val="auto"/>
          <w:kern w:val="2"/>
          <w:sz w:val="32"/>
          <w:szCs w:val="32"/>
          <w:highlight w:val="none"/>
        </w:rPr>
        <w:t>集成服务</w:t>
      </w:r>
      <w:r>
        <w:rPr>
          <w:rFonts w:hint="eastAsia" w:ascii="仿宋_GB2312" w:hAnsi="仿宋_GB2312" w:eastAsia="楷体_GB2312"/>
          <w:color w:val="auto"/>
          <w:kern w:val="2"/>
          <w:sz w:val="32"/>
          <w:szCs w:val="32"/>
          <w:highlight w:val="none"/>
          <w:lang w:val="en-US" w:eastAsia="zh-CN"/>
        </w:rPr>
        <w:t>场景应用</w:t>
      </w:r>
      <w:r>
        <w:rPr>
          <w:rFonts w:ascii="仿宋_GB2312" w:hAnsi="仿宋_GB2312" w:eastAsia="楷体_GB2312"/>
          <w:color w:val="auto"/>
          <w:kern w:val="2"/>
          <w:sz w:val="32"/>
          <w:szCs w:val="32"/>
          <w:highlight w:val="none"/>
        </w:rPr>
        <w:t>。</w:t>
      </w:r>
      <w:r>
        <w:rPr>
          <w:rFonts w:hint="eastAsia" w:ascii="仿宋_GB2312" w:hAnsi="仿宋_GB2312" w:eastAsia="仿宋_GB2312"/>
          <w:color w:val="auto"/>
          <w:kern w:val="2"/>
          <w:sz w:val="32"/>
          <w:szCs w:val="32"/>
          <w:highlight w:val="none"/>
          <w:lang w:val="en-US" w:eastAsia="zh-CN"/>
        </w:rPr>
        <w:t>7月底前，</w:t>
      </w:r>
      <w:r>
        <w:rPr>
          <w:rFonts w:ascii="仿宋_GB2312" w:hAnsi="仿宋_GB2312" w:eastAsia="仿宋_GB2312"/>
          <w:color w:val="auto"/>
          <w:kern w:val="2"/>
          <w:sz w:val="32"/>
          <w:szCs w:val="32"/>
          <w:highlight w:val="none"/>
        </w:rPr>
        <w:t>根据</w:t>
      </w:r>
      <w:r>
        <w:rPr>
          <w:rFonts w:hint="eastAsia" w:ascii="仿宋_GB2312" w:hAnsi="仿宋_GB2312" w:eastAsia="仿宋_GB2312"/>
          <w:color w:val="auto"/>
          <w:kern w:val="2"/>
          <w:sz w:val="32"/>
          <w:szCs w:val="32"/>
          <w:highlight w:val="none"/>
          <w:lang w:val="en-US" w:eastAsia="zh-CN"/>
        </w:rPr>
        <w:t>企业和个人全生命周期“一件事”事项清单</w:t>
      </w:r>
      <w:r>
        <w:rPr>
          <w:rFonts w:hint="eastAsia" w:ascii="仿宋_GB2312" w:hAnsi="仿宋_GB2312" w:eastAsia="仿宋_GB2312"/>
          <w:color w:val="auto"/>
          <w:kern w:val="2"/>
          <w:sz w:val="32"/>
          <w:szCs w:val="32"/>
          <w:highlight w:val="none"/>
          <w:lang w:eastAsia="zh-CN"/>
        </w:rPr>
        <w:t>，</w:t>
      </w:r>
      <w:r>
        <w:rPr>
          <w:rFonts w:hint="eastAsia" w:ascii="仿宋_GB2312" w:hAnsi="仿宋_GB2312" w:eastAsia="仿宋_GB2312"/>
          <w:color w:val="auto"/>
          <w:kern w:val="2"/>
          <w:sz w:val="32"/>
          <w:szCs w:val="32"/>
          <w:highlight w:val="none"/>
          <w:lang w:val="en-US" w:eastAsia="zh-CN"/>
        </w:rPr>
        <w:t>各链条</w:t>
      </w:r>
      <w:r>
        <w:rPr>
          <w:rFonts w:ascii="仿宋_GB2312" w:hAnsi="仿宋_GB2312" w:eastAsia="仿宋_GB2312"/>
          <w:color w:val="auto"/>
          <w:kern w:val="2"/>
          <w:sz w:val="32"/>
          <w:szCs w:val="32"/>
          <w:highlight w:val="none"/>
        </w:rPr>
        <w:t>牵头部门</w:t>
      </w:r>
      <w:r>
        <w:rPr>
          <w:rFonts w:hint="eastAsia" w:ascii="仿宋_GB2312" w:hAnsi="仿宋_GB2312" w:eastAsia="仿宋_GB2312"/>
          <w:color w:val="auto"/>
          <w:kern w:val="2"/>
          <w:sz w:val="32"/>
          <w:szCs w:val="32"/>
          <w:highlight w:val="none"/>
          <w:lang w:val="en-US" w:eastAsia="zh-CN"/>
        </w:rPr>
        <w:t>会同</w:t>
      </w:r>
      <w:r>
        <w:rPr>
          <w:rFonts w:ascii="仿宋_GB2312" w:hAnsi="仿宋_GB2312" w:eastAsia="仿宋_GB2312"/>
          <w:color w:val="auto"/>
          <w:kern w:val="2"/>
          <w:sz w:val="32"/>
          <w:szCs w:val="32"/>
          <w:highlight w:val="none"/>
        </w:rPr>
        <w:t>协同部门</w:t>
      </w:r>
      <w:r>
        <w:rPr>
          <w:rFonts w:hint="eastAsia" w:ascii="仿宋_GB2312" w:hAnsi="仿宋_GB2312" w:eastAsia="仿宋_GB2312"/>
          <w:color w:val="auto"/>
          <w:kern w:val="2"/>
          <w:sz w:val="32"/>
          <w:szCs w:val="32"/>
          <w:highlight w:val="none"/>
          <w:lang w:eastAsia="zh-CN"/>
        </w:rPr>
        <w:t>，</w:t>
      </w:r>
      <w:r>
        <w:rPr>
          <w:rFonts w:hint="eastAsia" w:ascii="仿宋_GB2312" w:hAnsi="仿宋_GB2312" w:eastAsia="仿宋_GB2312"/>
          <w:color w:val="auto"/>
          <w:kern w:val="2"/>
          <w:sz w:val="32"/>
          <w:szCs w:val="32"/>
          <w:highlight w:val="none"/>
          <w:lang w:val="en-US" w:eastAsia="zh-CN"/>
        </w:rPr>
        <w:t>围绕</w:t>
      </w:r>
      <w:r>
        <w:rPr>
          <w:rFonts w:ascii="仿宋_GB2312" w:hAnsi="仿宋_GB2312" w:eastAsia="仿宋_GB2312"/>
          <w:color w:val="auto"/>
          <w:kern w:val="2"/>
          <w:sz w:val="32"/>
          <w:szCs w:val="32"/>
          <w:highlight w:val="none"/>
        </w:rPr>
        <w:t>开展</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事项联办</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和</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一链办理</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主题式服务</w:t>
      </w:r>
      <w:r>
        <w:rPr>
          <w:rFonts w:hint="eastAsia" w:ascii="仿宋_GB2312" w:hAnsi="仿宋_GB2312" w:eastAsia="仿宋_GB2312"/>
          <w:color w:val="auto"/>
          <w:kern w:val="2"/>
          <w:sz w:val="32"/>
          <w:szCs w:val="32"/>
          <w:highlight w:val="none"/>
          <w:lang w:eastAsia="zh-CN"/>
        </w:rPr>
        <w:t>，积极对上争取试点，</w:t>
      </w:r>
      <w:r>
        <w:rPr>
          <w:rFonts w:ascii="仿宋_GB2312" w:hAnsi="仿宋_GB2312" w:eastAsia="仿宋_GB2312"/>
          <w:color w:val="auto"/>
          <w:kern w:val="2"/>
          <w:sz w:val="32"/>
          <w:szCs w:val="32"/>
          <w:highlight w:val="none"/>
        </w:rPr>
        <w:t>制定最优服务流程</w:t>
      </w:r>
      <w:r>
        <w:rPr>
          <w:rFonts w:hint="eastAsia" w:ascii="仿宋_GB2312" w:hAnsi="仿宋_GB2312" w:eastAsia="仿宋_GB2312"/>
          <w:color w:val="auto"/>
          <w:kern w:val="2"/>
          <w:sz w:val="32"/>
          <w:szCs w:val="32"/>
          <w:highlight w:val="none"/>
          <w:lang w:eastAsia="zh-CN"/>
        </w:rPr>
        <w:t>，</w:t>
      </w:r>
      <w:r>
        <w:rPr>
          <w:rFonts w:hint="eastAsia" w:ascii="仿宋_GB2312" w:hAnsi="仿宋_GB2312" w:eastAsia="仿宋_GB2312"/>
          <w:color w:val="auto"/>
          <w:kern w:val="2"/>
          <w:sz w:val="32"/>
          <w:szCs w:val="32"/>
          <w:highlight w:val="none"/>
        </w:rPr>
        <w:t>编制链条事项办事指南</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统一服务标准</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实行</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一次告知、一表申请、一套材料</w:t>
      </w:r>
      <w:r>
        <w:rPr>
          <w:rFonts w:hint="eastAsia" w:ascii="仿宋_GB2312" w:hAnsi="仿宋_GB2312" w:eastAsia="仿宋_GB2312"/>
          <w:color w:val="auto"/>
          <w:kern w:val="2"/>
          <w:sz w:val="32"/>
          <w:szCs w:val="32"/>
          <w:highlight w:val="none"/>
          <w:lang w:eastAsia="zh-CN"/>
        </w:rPr>
        <w:t>、</w:t>
      </w:r>
      <w:r>
        <w:rPr>
          <w:rFonts w:hint="eastAsia" w:ascii="仿宋_GB2312" w:hAnsi="仿宋_GB2312" w:eastAsia="仿宋_GB2312"/>
          <w:color w:val="auto"/>
          <w:kern w:val="2"/>
          <w:sz w:val="32"/>
          <w:szCs w:val="32"/>
          <w:highlight w:val="none"/>
          <w:lang w:val="en-US" w:eastAsia="zh-CN"/>
        </w:rPr>
        <w:t>一同勘验、一并审批、一次办好</w:t>
      </w:r>
      <w:r>
        <w:rPr>
          <w:rFonts w:hint="eastAsia" w:ascii="仿宋_GB2312" w:hAnsi="仿宋_GB2312" w:eastAsia="仿宋_GB2312"/>
          <w:color w:val="auto"/>
          <w:kern w:val="2"/>
          <w:sz w:val="32"/>
          <w:szCs w:val="32"/>
          <w:highlight w:val="none"/>
          <w:lang w:eastAsia="zh-CN"/>
        </w:rPr>
        <w:t>”，</w:t>
      </w:r>
      <w:r>
        <w:rPr>
          <w:rFonts w:ascii="仿宋_GB2312" w:hAnsi="仿宋_GB2312" w:eastAsia="仿宋_GB2312"/>
          <w:color w:val="auto"/>
          <w:kern w:val="2"/>
          <w:sz w:val="32"/>
          <w:szCs w:val="32"/>
          <w:highlight w:val="none"/>
        </w:rPr>
        <w:t>推进事项集成办理。</w:t>
      </w:r>
      <w:r>
        <w:rPr>
          <w:rFonts w:ascii="仿宋_GB2312" w:hAnsi="仿宋_GB2312" w:eastAsia="楷体_GB2312"/>
          <w:color w:val="auto"/>
          <w:kern w:val="2"/>
          <w:sz w:val="32"/>
          <w:szCs w:val="32"/>
          <w:highlight w:val="none"/>
        </w:rPr>
        <w:t>（</w:t>
      </w:r>
      <w:r>
        <w:rPr>
          <w:rFonts w:hint="eastAsia" w:ascii="仿宋_GB2312" w:hAnsi="仿宋_GB2312" w:eastAsia="楷体_GB2312"/>
          <w:color w:val="auto"/>
          <w:kern w:val="2"/>
          <w:sz w:val="32"/>
          <w:szCs w:val="32"/>
          <w:highlight w:val="none"/>
          <w:lang w:val="en-US" w:eastAsia="zh-CN"/>
        </w:rPr>
        <w:t>责任分工见附件3、4</w:t>
      </w:r>
      <w:r>
        <w:rPr>
          <w:rFonts w:ascii="仿宋_GB2312" w:hAnsi="仿宋_GB2312" w:eastAsia="楷体_GB2312"/>
          <w:color w:val="auto"/>
          <w:kern w:val="2"/>
          <w:sz w:val="32"/>
          <w:szCs w:val="32"/>
          <w:highlight w:val="none"/>
        </w:rPr>
        <w:t>）</w:t>
      </w:r>
    </w:p>
    <w:p>
      <w:pPr>
        <w:pStyle w:val="5"/>
        <w:keepNext w:val="0"/>
        <w:keepLines w:val="0"/>
        <w:pageBreakBefore w:val="0"/>
        <w:widowControl/>
        <w:kinsoku/>
        <w:wordWrap/>
        <w:overflowPunct/>
        <w:topLinePunct w:val="0"/>
        <w:autoSpaceDE w:val="0"/>
        <w:autoSpaceDN/>
        <w:bidi w:val="0"/>
        <w:adjustRightInd/>
        <w:snapToGrid/>
        <w:spacing w:before="0" w:beforeAutospacing="0" w:after="0" w:afterAutospacing="0" w:line="576" w:lineRule="exact"/>
        <w:ind w:firstLine="640" w:firstLineChars="200"/>
        <w:jc w:val="both"/>
        <w:textAlignment w:val="auto"/>
        <w:rPr>
          <w:rFonts w:hint="default" w:ascii="仿宋_GB2312" w:hAnsi="仿宋_GB2312" w:eastAsia="仿宋_GB2312" w:cs="仿宋_GB2312"/>
          <w:color w:val="auto"/>
          <w:kern w:val="2"/>
          <w:sz w:val="32"/>
          <w:szCs w:val="32"/>
          <w:highlight w:val="none"/>
          <w:lang w:val="en-US" w:eastAsia="zh-CN"/>
        </w:rPr>
      </w:pPr>
      <w:r>
        <w:rPr>
          <w:rFonts w:hint="eastAsia" w:ascii="仿宋_GB2312" w:hAnsi="仿宋_GB2312" w:eastAsia="楷体_GB2312"/>
          <w:color w:val="auto"/>
          <w:kern w:val="2"/>
          <w:sz w:val="32"/>
          <w:szCs w:val="32"/>
          <w:highlight w:val="none"/>
          <w:lang w:eastAsia="zh-CN"/>
        </w:rPr>
        <w:t>（</w:t>
      </w:r>
      <w:r>
        <w:rPr>
          <w:rFonts w:hint="eastAsia" w:ascii="仿宋_GB2312" w:hAnsi="仿宋_GB2312" w:eastAsia="楷体_GB2312"/>
          <w:color w:val="auto"/>
          <w:kern w:val="2"/>
          <w:sz w:val="32"/>
          <w:szCs w:val="32"/>
          <w:highlight w:val="none"/>
          <w:lang w:val="en-US" w:eastAsia="zh-CN"/>
        </w:rPr>
        <w:t>四</w:t>
      </w:r>
      <w:r>
        <w:rPr>
          <w:rFonts w:hint="eastAsia" w:ascii="仿宋_GB2312" w:hAnsi="仿宋_GB2312" w:eastAsia="楷体_GB2312"/>
          <w:color w:val="auto"/>
          <w:kern w:val="2"/>
          <w:sz w:val="32"/>
          <w:szCs w:val="32"/>
          <w:highlight w:val="none"/>
          <w:lang w:eastAsia="zh-CN"/>
        </w:rPr>
        <w:t>）</w:t>
      </w:r>
      <w:r>
        <w:rPr>
          <w:rFonts w:hint="eastAsia" w:ascii="仿宋_GB2312" w:hAnsi="仿宋_GB2312" w:eastAsia="楷体_GB2312"/>
          <w:color w:val="auto"/>
          <w:kern w:val="2"/>
          <w:sz w:val="32"/>
          <w:szCs w:val="32"/>
          <w:highlight w:val="none"/>
          <w:lang w:val="en-US" w:eastAsia="zh-CN"/>
        </w:rPr>
        <w:t>建设主题服务事项“链条式”办理平台。</w:t>
      </w:r>
      <w:r>
        <w:rPr>
          <w:rFonts w:hint="eastAsia" w:ascii="仿宋_GB2312" w:hAnsi="仿宋_GB2312" w:eastAsia="仿宋_GB2312" w:cs="仿宋_GB2312"/>
          <w:color w:val="auto"/>
          <w:kern w:val="2"/>
          <w:sz w:val="32"/>
          <w:szCs w:val="32"/>
          <w:highlight w:val="none"/>
          <w:lang w:val="en-US" w:eastAsia="zh-CN"/>
        </w:rPr>
        <w:t>以场景集成服务应用驱动服务供给创新，</w:t>
      </w:r>
      <w:r>
        <w:rPr>
          <w:rFonts w:hint="eastAsia" w:ascii="仿宋_GB2312" w:hAnsi="仿宋_GB2312" w:eastAsia="仿宋_GB2312"/>
          <w:color w:val="auto"/>
          <w:kern w:val="2"/>
          <w:sz w:val="32"/>
          <w:szCs w:val="32"/>
          <w:highlight w:val="none"/>
          <w:lang w:val="en-US" w:eastAsia="zh-CN"/>
        </w:rPr>
        <w:t>各链条</w:t>
      </w:r>
      <w:r>
        <w:rPr>
          <w:rFonts w:ascii="仿宋_GB2312" w:hAnsi="仿宋_GB2312" w:eastAsia="仿宋_GB2312"/>
          <w:color w:val="auto"/>
          <w:kern w:val="2"/>
          <w:sz w:val="32"/>
          <w:szCs w:val="32"/>
          <w:highlight w:val="none"/>
        </w:rPr>
        <w:t>牵头部门</w:t>
      </w:r>
      <w:r>
        <w:rPr>
          <w:rFonts w:hint="eastAsia" w:ascii="仿宋_GB2312" w:hAnsi="仿宋_GB2312" w:eastAsia="仿宋_GB2312"/>
          <w:color w:val="auto"/>
          <w:kern w:val="2"/>
          <w:sz w:val="32"/>
          <w:szCs w:val="32"/>
          <w:highlight w:val="none"/>
          <w:lang w:val="en-US" w:eastAsia="zh-CN"/>
        </w:rPr>
        <w:t>会同</w:t>
      </w:r>
      <w:r>
        <w:rPr>
          <w:rFonts w:ascii="仿宋_GB2312" w:hAnsi="仿宋_GB2312" w:eastAsia="仿宋_GB2312"/>
          <w:color w:val="auto"/>
          <w:kern w:val="2"/>
          <w:sz w:val="32"/>
          <w:szCs w:val="32"/>
          <w:highlight w:val="none"/>
        </w:rPr>
        <w:t>协同部门</w:t>
      </w:r>
      <w:r>
        <w:rPr>
          <w:rFonts w:hint="eastAsia" w:ascii="仿宋_GB2312" w:hAnsi="仿宋_GB2312" w:eastAsia="仿宋_GB2312"/>
          <w:color w:val="auto"/>
          <w:kern w:val="2"/>
          <w:sz w:val="32"/>
          <w:szCs w:val="32"/>
          <w:highlight w:val="none"/>
          <w:lang w:eastAsia="zh-CN"/>
        </w:rPr>
        <w:t>，</w:t>
      </w:r>
      <w:r>
        <w:rPr>
          <w:rFonts w:hint="eastAsia" w:ascii="仿宋_GB2312" w:hAnsi="仿宋_GB2312" w:eastAsia="仿宋_GB2312"/>
          <w:color w:val="auto"/>
          <w:kern w:val="2"/>
          <w:sz w:val="32"/>
          <w:szCs w:val="32"/>
          <w:highlight w:val="none"/>
        </w:rPr>
        <w:t>集成链条事项申请表单</w:t>
      </w:r>
      <w:r>
        <w:rPr>
          <w:rFonts w:hint="eastAsia" w:ascii="仿宋_GB2312" w:hAnsi="仿宋_GB2312" w:eastAsia="仿宋_GB2312"/>
          <w:color w:val="auto"/>
          <w:kern w:val="2"/>
          <w:sz w:val="32"/>
          <w:szCs w:val="32"/>
          <w:highlight w:val="none"/>
          <w:lang w:eastAsia="zh-CN"/>
        </w:rPr>
        <w:t>、</w:t>
      </w:r>
      <w:r>
        <w:rPr>
          <w:rFonts w:hint="eastAsia" w:ascii="仿宋_GB2312" w:hAnsi="仿宋_GB2312" w:eastAsia="仿宋_GB2312"/>
          <w:color w:val="auto"/>
          <w:kern w:val="2"/>
          <w:sz w:val="32"/>
          <w:szCs w:val="32"/>
          <w:highlight w:val="none"/>
          <w:lang w:val="en-US" w:eastAsia="zh-CN"/>
        </w:rPr>
        <w:t>申请材料</w:t>
      </w:r>
      <w:r>
        <w:rPr>
          <w:rFonts w:hint="eastAsia" w:ascii="仿宋_GB2312" w:hAnsi="仿宋_GB2312" w:eastAsia="仿宋_GB2312"/>
          <w:color w:val="auto"/>
          <w:kern w:val="2"/>
          <w:sz w:val="32"/>
          <w:szCs w:val="32"/>
          <w:highlight w:val="none"/>
          <w:lang w:eastAsia="zh-CN"/>
        </w:rPr>
        <w:t>，</w:t>
      </w:r>
      <w:r>
        <w:rPr>
          <w:rFonts w:hint="eastAsia" w:ascii="仿宋_GB2312" w:hAnsi="仿宋_GB2312" w:eastAsia="仿宋_GB2312"/>
          <w:color w:val="auto"/>
          <w:kern w:val="2"/>
          <w:sz w:val="32"/>
          <w:szCs w:val="32"/>
          <w:highlight w:val="none"/>
          <w:lang w:val="en-US" w:eastAsia="zh-CN"/>
        </w:rPr>
        <w:t>优化办理流程，</w:t>
      </w:r>
      <w:r>
        <w:rPr>
          <w:rFonts w:hint="eastAsia" w:ascii="仿宋_GB2312" w:hAnsi="仿宋_GB2312" w:eastAsia="仿宋_GB2312"/>
          <w:color w:val="auto"/>
          <w:kern w:val="2"/>
          <w:sz w:val="32"/>
          <w:szCs w:val="32"/>
          <w:highlight w:val="none"/>
        </w:rPr>
        <w:t>梳理</w:t>
      </w:r>
      <w:r>
        <w:rPr>
          <w:rFonts w:hint="eastAsia" w:ascii="仿宋_GB2312" w:hAnsi="仿宋_GB2312" w:eastAsia="仿宋_GB2312"/>
          <w:color w:val="auto"/>
          <w:kern w:val="2"/>
          <w:sz w:val="32"/>
          <w:szCs w:val="32"/>
          <w:highlight w:val="none"/>
          <w:lang w:val="en-US" w:eastAsia="zh-CN"/>
        </w:rPr>
        <w:t>提出</w:t>
      </w:r>
      <w:r>
        <w:rPr>
          <w:rFonts w:hint="eastAsia" w:ascii="仿宋_GB2312" w:hAnsi="仿宋_GB2312" w:eastAsia="仿宋_GB2312"/>
          <w:color w:val="auto"/>
          <w:kern w:val="2"/>
          <w:sz w:val="32"/>
          <w:szCs w:val="32"/>
          <w:highlight w:val="none"/>
        </w:rPr>
        <w:t>链条事项数据共享、系统对接需求</w:t>
      </w:r>
      <w:r>
        <w:rPr>
          <w:rFonts w:hint="eastAsia" w:ascii="仿宋_GB2312" w:hAnsi="仿宋_GB2312" w:eastAsia="仿宋_GB2312"/>
          <w:color w:val="auto"/>
          <w:kern w:val="2"/>
          <w:sz w:val="32"/>
          <w:szCs w:val="32"/>
          <w:highlight w:val="none"/>
          <w:lang w:eastAsia="zh-CN"/>
        </w:rPr>
        <w:t>，</w:t>
      </w:r>
      <w:r>
        <w:rPr>
          <w:rFonts w:hint="eastAsia" w:ascii="仿宋_GB2312" w:hAnsi="仿宋_GB2312" w:eastAsia="仿宋_GB2312"/>
          <w:color w:val="auto"/>
          <w:kern w:val="2"/>
          <w:sz w:val="32"/>
          <w:szCs w:val="32"/>
          <w:highlight w:val="none"/>
          <w:lang w:val="en-US" w:eastAsia="zh-CN"/>
        </w:rPr>
        <w:t>分期分批</w:t>
      </w:r>
      <w:r>
        <w:rPr>
          <w:rFonts w:hint="eastAsia" w:ascii="仿宋_GB2312" w:hAnsi="仿宋_GB2312" w:eastAsia="仿宋_GB2312"/>
          <w:color w:val="auto"/>
          <w:kern w:val="2"/>
          <w:sz w:val="32"/>
          <w:szCs w:val="32"/>
          <w:highlight w:val="none"/>
        </w:rPr>
        <w:t>报</w:t>
      </w:r>
      <w:r>
        <w:rPr>
          <w:rFonts w:hint="eastAsia" w:ascii="仿宋_GB2312" w:hAnsi="仿宋_GB2312" w:eastAsia="仿宋_GB2312"/>
          <w:color w:val="auto"/>
          <w:kern w:val="2"/>
          <w:sz w:val="32"/>
          <w:szCs w:val="32"/>
          <w:highlight w:val="none"/>
          <w:lang w:val="en-US" w:eastAsia="zh-CN"/>
        </w:rPr>
        <w:t>区大数据中心，区大数据中心统一汇总后报</w:t>
      </w:r>
      <w:r>
        <w:rPr>
          <w:rFonts w:hint="eastAsia" w:ascii="仿宋_GB2312" w:hAnsi="仿宋_GB2312" w:eastAsia="仿宋_GB2312"/>
          <w:color w:val="auto"/>
          <w:kern w:val="2"/>
          <w:sz w:val="32"/>
          <w:szCs w:val="32"/>
          <w:highlight w:val="none"/>
        </w:rPr>
        <w:t>市大数据局</w:t>
      </w:r>
      <w:r>
        <w:rPr>
          <w:rFonts w:hint="eastAsia" w:ascii="仿宋_GB2312" w:hAnsi="仿宋_GB2312" w:eastAsia="仿宋_GB2312"/>
          <w:color w:val="auto"/>
          <w:kern w:val="2"/>
          <w:sz w:val="32"/>
          <w:szCs w:val="32"/>
          <w:highlight w:val="none"/>
          <w:lang w:val="en-US" w:eastAsia="zh-CN"/>
        </w:rPr>
        <w:t>进行</w:t>
      </w:r>
      <w:r>
        <w:rPr>
          <w:rFonts w:hint="eastAsia" w:ascii="仿宋_GB2312" w:hAnsi="仿宋_GB2312" w:eastAsia="仿宋_GB2312"/>
          <w:color w:val="auto"/>
          <w:kern w:val="2"/>
          <w:sz w:val="32"/>
          <w:szCs w:val="32"/>
          <w:highlight w:val="none"/>
        </w:rPr>
        <w:t>开发</w:t>
      </w:r>
      <w:r>
        <w:rPr>
          <w:rFonts w:hint="eastAsia" w:ascii="仿宋_GB2312" w:hAnsi="仿宋_GB2312" w:eastAsia="仿宋_GB2312"/>
          <w:color w:val="auto"/>
          <w:kern w:val="2"/>
          <w:sz w:val="32"/>
          <w:szCs w:val="32"/>
          <w:highlight w:val="none"/>
          <w:lang w:eastAsia="zh-CN"/>
        </w:rPr>
        <w:t>，</w:t>
      </w:r>
      <w:r>
        <w:rPr>
          <w:rFonts w:hint="eastAsia" w:ascii="仿宋_GB2312" w:hAnsi="仿宋_GB2312" w:eastAsia="仿宋_GB2312" w:cs="Times New Roman"/>
          <w:color w:val="auto"/>
          <w:kern w:val="2"/>
          <w:sz w:val="32"/>
          <w:szCs w:val="32"/>
          <w:highlight w:val="none"/>
          <w:lang w:val="en-US" w:eastAsia="zh-CN"/>
        </w:rPr>
        <w:t>于7月底前全</w:t>
      </w:r>
      <w:r>
        <w:rPr>
          <w:rFonts w:hint="eastAsia" w:ascii="仿宋_GB2312" w:hAnsi="仿宋_GB2312" w:eastAsia="仿宋_GB2312" w:cs="仿宋_GB2312"/>
          <w:color w:val="auto"/>
          <w:kern w:val="2"/>
          <w:sz w:val="32"/>
          <w:szCs w:val="32"/>
          <w:highlight w:val="none"/>
          <w:lang w:val="en-US" w:eastAsia="zh-CN"/>
        </w:rPr>
        <w:t>部完成</w:t>
      </w:r>
      <w:r>
        <w:rPr>
          <w:rFonts w:hint="eastAsia" w:ascii="仿宋_GB2312" w:hAnsi="仿宋_GB2312" w:eastAsia="仿宋_GB2312"/>
          <w:color w:val="auto"/>
          <w:kern w:val="2"/>
          <w:sz w:val="32"/>
          <w:szCs w:val="32"/>
          <w:highlight w:val="none"/>
        </w:rPr>
        <w:t>。</w:t>
      </w:r>
      <w:r>
        <w:rPr>
          <w:rFonts w:hint="eastAsia" w:ascii="仿宋_GB2312" w:hAnsi="仿宋_GB2312" w:eastAsia="仿宋_GB2312"/>
          <w:color w:val="auto"/>
          <w:kern w:val="2"/>
          <w:sz w:val="32"/>
          <w:szCs w:val="32"/>
          <w:highlight w:val="none"/>
          <w:lang w:val="en-US" w:eastAsia="zh-CN"/>
        </w:rPr>
        <w:t>区大数据中心配合市大数据局根据各链条</w:t>
      </w:r>
      <w:r>
        <w:rPr>
          <w:rFonts w:ascii="仿宋_GB2312" w:hAnsi="仿宋_GB2312" w:eastAsia="仿宋_GB2312"/>
          <w:color w:val="auto"/>
          <w:kern w:val="2"/>
          <w:sz w:val="32"/>
          <w:szCs w:val="32"/>
          <w:highlight w:val="none"/>
        </w:rPr>
        <w:t>牵头部门</w:t>
      </w:r>
      <w:r>
        <w:rPr>
          <w:rFonts w:hint="eastAsia" w:ascii="仿宋_GB2312" w:hAnsi="仿宋_GB2312" w:eastAsia="仿宋_GB2312"/>
          <w:color w:val="auto"/>
          <w:kern w:val="2"/>
          <w:sz w:val="32"/>
          <w:szCs w:val="32"/>
          <w:highlight w:val="none"/>
          <w:lang w:val="en-US" w:eastAsia="zh-CN"/>
        </w:rPr>
        <w:t>提出的开发需求，分期研发主题服务事项“链条式”办理功能，将企业、个人“全生命周期”场景中必办场景、个性化需求场景实现网上办理，同时配合推动自助端、手机端应用开发，实现办事渠道多样化，提升企业群众办事便捷度，于10月底前完成。</w:t>
      </w:r>
      <w:r>
        <w:rPr>
          <w:rFonts w:ascii="仿宋_GB2312" w:hAnsi="仿宋_GB2312" w:eastAsia="楷体_GB2312"/>
          <w:color w:val="auto"/>
          <w:kern w:val="2"/>
          <w:sz w:val="32"/>
          <w:szCs w:val="32"/>
          <w:highlight w:val="none"/>
        </w:rPr>
        <w:t>（</w:t>
      </w:r>
      <w:r>
        <w:rPr>
          <w:rFonts w:hint="eastAsia" w:ascii="仿宋_GB2312" w:hAnsi="仿宋_GB2312" w:eastAsia="楷体_GB2312"/>
          <w:color w:val="auto"/>
          <w:kern w:val="2"/>
          <w:sz w:val="32"/>
          <w:szCs w:val="32"/>
          <w:highlight w:val="none"/>
        </w:rPr>
        <w:t>各链条牵头部门</w:t>
      </w:r>
      <w:r>
        <w:rPr>
          <w:rFonts w:hint="eastAsia" w:ascii="仿宋_GB2312" w:hAnsi="仿宋_GB2312" w:eastAsia="楷体_GB2312"/>
          <w:color w:val="auto"/>
          <w:kern w:val="2"/>
          <w:sz w:val="32"/>
          <w:szCs w:val="32"/>
          <w:highlight w:val="none"/>
          <w:lang w:eastAsia="zh-CN"/>
        </w:rPr>
        <w:t>、</w:t>
      </w:r>
      <w:r>
        <w:rPr>
          <w:rFonts w:hint="eastAsia" w:ascii="仿宋_GB2312" w:hAnsi="仿宋_GB2312" w:eastAsia="楷体_GB2312"/>
          <w:color w:val="auto"/>
          <w:kern w:val="2"/>
          <w:sz w:val="32"/>
          <w:szCs w:val="32"/>
          <w:highlight w:val="none"/>
          <w:lang w:val="en-US" w:eastAsia="zh-CN"/>
        </w:rPr>
        <w:t>区大数据中心分工负责</w:t>
      </w:r>
      <w:r>
        <w:rPr>
          <w:rFonts w:ascii="仿宋_GB2312" w:hAnsi="仿宋_GB2312" w:eastAsia="楷体_GB2312"/>
          <w:color w:val="auto"/>
          <w:kern w:val="2"/>
          <w:sz w:val="32"/>
          <w:szCs w:val="32"/>
          <w:highlight w:val="none"/>
        </w:rPr>
        <w:t>）</w:t>
      </w:r>
    </w:p>
    <w:p>
      <w:pPr>
        <w:keepNext w:val="0"/>
        <w:keepLines w:val="0"/>
        <w:pageBreakBefore w:val="0"/>
        <w:kinsoku/>
        <w:wordWrap/>
        <w:overflowPunct/>
        <w:topLinePunct w:val="0"/>
        <w:autoSpaceDN/>
        <w:bidi w:val="0"/>
        <w:spacing w:line="576" w:lineRule="exact"/>
        <w:ind w:firstLine="640" w:firstLineChars="200"/>
        <w:jc w:val="both"/>
        <w:textAlignment w:val="auto"/>
        <w:rPr>
          <w:rFonts w:ascii="仿宋_GB2312" w:hAnsi="仿宋_GB2312" w:eastAsia="宋体" w:cs="Times New Roman"/>
          <w:color w:val="auto"/>
          <w:kern w:val="2"/>
          <w:sz w:val="32"/>
          <w:szCs w:val="32"/>
          <w:highlight w:val="none"/>
        </w:rPr>
      </w:pPr>
      <w:r>
        <w:rPr>
          <w:rFonts w:ascii="仿宋_GB2312" w:hAnsi="仿宋_GB2312" w:eastAsia="楷体_GB2312" w:cs="Times New Roman"/>
          <w:color w:val="auto"/>
          <w:sz w:val="32"/>
          <w:szCs w:val="32"/>
          <w:highlight w:val="none"/>
        </w:rPr>
        <w:t>（</w:t>
      </w:r>
      <w:r>
        <w:rPr>
          <w:rFonts w:hint="eastAsia" w:ascii="仿宋_GB2312" w:hAnsi="仿宋_GB2312" w:eastAsia="楷体_GB2312" w:cs="Times New Roman"/>
          <w:color w:val="auto"/>
          <w:sz w:val="32"/>
          <w:szCs w:val="32"/>
          <w:highlight w:val="none"/>
          <w:lang w:val="en-US" w:eastAsia="zh-CN"/>
        </w:rPr>
        <w:t>五</w:t>
      </w:r>
      <w:r>
        <w:rPr>
          <w:rFonts w:ascii="仿宋_GB2312" w:hAnsi="仿宋_GB2312" w:eastAsia="楷体_GB2312" w:cs="Times New Roman"/>
          <w:color w:val="auto"/>
          <w:sz w:val="32"/>
          <w:szCs w:val="32"/>
          <w:highlight w:val="none"/>
        </w:rPr>
        <w:t>）</w:t>
      </w:r>
      <w:r>
        <w:rPr>
          <w:rFonts w:hint="eastAsia" w:ascii="仿宋_GB2312" w:hAnsi="仿宋_GB2312" w:eastAsia="楷体_GB2312" w:cs="Times New Roman"/>
          <w:color w:val="auto"/>
          <w:sz w:val="32"/>
          <w:szCs w:val="32"/>
          <w:highlight w:val="none"/>
        </w:rPr>
        <w:t>强化数据共享应用支撑</w:t>
      </w:r>
      <w:r>
        <w:rPr>
          <w:rFonts w:ascii="仿宋_GB2312" w:hAnsi="仿宋_GB2312" w:eastAsia="楷体_GB2312" w:cs="Times New Roman"/>
          <w:color w:val="auto"/>
          <w:sz w:val="32"/>
          <w:szCs w:val="32"/>
          <w:highlight w:val="none"/>
        </w:rPr>
        <w:t>。</w:t>
      </w:r>
      <w:r>
        <w:rPr>
          <w:rFonts w:hint="eastAsia" w:ascii="仿宋_GB2312" w:hAnsi="仿宋_GB2312" w:eastAsia="仿宋_GB2312" w:cs="Times New Roman"/>
          <w:color w:val="auto"/>
          <w:sz w:val="32"/>
          <w:szCs w:val="32"/>
          <w:highlight w:val="none"/>
          <w:lang w:val="en-US" w:eastAsia="zh-CN"/>
        </w:rPr>
        <w:t>建立健全</w:t>
      </w:r>
      <w:r>
        <w:rPr>
          <w:rFonts w:hint="default" w:ascii="仿宋_GB2312" w:hAnsi="仿宋_GB2312" w:eastAsia="仿宋_GB2312" w:cs="Times New Roman"/>
          <w:color w:val="auto"/>
          <w:sz w:val="32"/>
          <w:szCs w:val="32"/>
          <w:highlight w:val="none"/>
        </w:rPr>
        <w:t>数据共享机制</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加强</w:t>
      </w:r>
      <w:r>
        <w:rPr>
          <w:rFonts w:hint="eastAsia" w:ascii="仿宋_GB2312" w:hAnsi="仿宋_GB2312" w:eastAsia="仿宋_GB2312" w:cs="Times New Roman"/>
          <w:color w:val="auto"/>
          <w:sz w:val="32"/>
          <w:szCs w:val="32"/>
          <w:highlight w:val="none"/>
          <w:lang w:val="en-US" w:eastAsia="zh-CN"/>
        </w:rPr>
        <w:t>推进</w:t>
      </w:r>
      <w:r>
        <w:rPr>
          <w:rFonts w:ascii="仿宋_GB2312" w:hAnsi="仿宋_GB2312" w:eastAsia="仿宋_GB2312" w:cs="Times New Roman"/>
          <w:color w:val="auto"/>
          <w:sz w:val="32"/>
          <w:szCs w:val="32"/>
          <w:highlight w:val="none"/>
        </w:rPr>
        <w:t>电子证照、电子印章、电子签名、电子档案等基础应用</w:t>
      </w:r>
      <w:r>
        <w:rPr>
          <w:rFonts w:hint="eastAsia" w:ascii="仿宋_GB2312" w:hAnsi="仿宋_GB2312" w:eastAsia="仿宋_GB2312" w:cs="Times New Roman"/>
          <w:color w:val="auto"/>
          <w:sz w:val="32"/>
          <w:szCs w:val="32"/>
          <w:highlight w:val="none"/>
          <w:lang w:eastAsia="zh-CN"/>
        </w:rPr>
        <w:t>，</w:t>
      </w:r>
      <w:r>
        <w:rPr>
          <w:rFonts w:hint="eastAsia" w:ascii="仿宋_GB2312" w:hAnsi="仿宋_GB2312" w:eastAsia="仿宋_GB2312" w:cs="Times New Roman"/>
          <w:color w:val="auto"/>
          <w:sz w:val="32"/>
          <w:szCs w:val="32"/>
          <w:highlight w:val="none"/>
          <w:lang w:val="en-US" w:eastAsia="zh-CN"/>
        </w:rPr>
        <w:t>通过数据共享、告知承诺、部门核验等方式</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实现更多申报材料</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免提交</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w:t>
      </w:r>
      <w:r>
        <w:rPr>
          <w:rFonts w:hint="eastAsia" w:ascii="仿宋_GB2312" w:hAnsi="仿宋_GB2312" w:eastAsia="仿宋_GB2312" w:cs="仿宋_GB2312"/>
          <w:kern w:val="2"/>
          <w:sz w:val="32"/>
          <w:szCs w:val="32"/>
          <w:lang w:val="en-US" w:eastAsia="zh-CN" w:bidi="zh-CN"/>
        </w:rPr>
        <w:t>建立企业和个人全生命周期数字档案，实行“一企一档”“一人一档”，提供精准化服务应用和政策推送，为各服务渠道提供全面支撑</w:t>
      </w:r>
      <w:r>
        <w:rPr>
          <w:rFonts w:ascii="仿宋_GB2312" w:hAnsi="仿宋_GB2312" w:eastAsia="仿宋_GB2312" w:cs="Times New Roman"/>
          <w:color w:val="auto"/>
          <w:sz w:val="32"/>
          <w:szCs w:val="32"/>
          <w:highlight w:val="none"/>
        </w:rPr>
        <w:t>。</w:t>
      </w:r>
      <w:r>
        <w:rPr>
          <w:rFonts w:ascii="仿宋_GB2312" w:hAnsi="仿宋_GB2312" w:eastAsia="楷体_GB2312" w:cs="Times New Roman"/>
          <w:color w:val="auto"/>
          <w:sz w:val="32"/>
          <w:szCs w:val="32"/>
          <w:highlight w:val="none"/>
        </w:rPr>
        <w:t>（</w:t>
      </w:r>
      <w:r>
        <w:rPr>
          <w:rFonts w:hint="eastAsia" w:ascii="仿宋_GB2312" w:hAnsi="仿宋_GB2312" w:eastAsia="楷体_GB2312" w:cs="Times New Roman"/>
          <w:color w:val="auto"/>
          <w:sz w:val="32"/>
          <w:szCs w:val="32"/>
          <w:highlight w:val="none"/>
          <w:lang w:val="en-US" w:eastAsia="zh-CN"/>
        </w:rPr>
        <w:t>区</w:t>
      </w:r>
      <w:r>
        <w:rPr>
          <w:rFonts w:ascii="仿宋_GB2312" w:hAnsi="仿宋_GB2312" w:eastAsia="楷体_GB2312" w:cs="Times New Roman"/>
          <w:color w:val="auto"/>
          <w:sz w:val="32"/>
          <w:szCs w:val="32"/>
          <w:highlight w:val="none"/>
        </w:rPr>
        <w:t>大数据</w:t>
      </w:r>
      <w:r>
        <w:rPr>
          <w:rFonts w:hint="eastAsia" w:ascii="仿宋_GB2312" w:hAnsi="仿宋_GB2312" w:eastAsia="楷体_GB2312" w:cs="Times New Roman"/>
          <w:color w:val="auto"/>
          <w:sz w:val="32"/>
          <w:szCs w:val="32"/>
          <w:highlight w:val="none"/>
          <w:lang w:val="en-US" w:eastAsia="zh-CN"/>
        </w:rPr>
        <w:t>中心</w:t>
      </w:r>
      <w:r>
        <w:rPr>
          <w:rFonts w:ascii="仿宋_GB2312" w:hAnsi="仿宋_GB2312" w:eastAsia="楷体_GB2312" w:cs="Times New Roman"/>
          <w:color w:val="auto"/>
          <w:sz w:val="32"/>
          <w:szCs w:val="32"/>
          <w:highlight w:val="none"/>
        </w:rPr>
        <w:t>牵头</w:t>
      </w:r>
      <w:r>
        <w:rPr>
          <w:rFonts w:hint="eastAsia" w:ascii="仿宋_GB2312" w:hAnsi="仿宋_GB2312" w:eastAsia="楷体_GB2312" w:cs="Times New Roman"/>
          <w:color w:val="auto"/>
          <w:sz w:val="32"/>
          <w:szCs w:val="32"/>
          <w:highlight w:val="none"/>
          <w:lang w:eastAsia="zh-CN"/>
        </w:rPr>
        <w:t>；</w:t>
      </w:r>
      <w:r>
        <w:rPr>
          <w:rFonts w:hint="eastAsia" w:ascii="仿宋_GB2312" w:hAnsi="仿宋_GB2312" w:eastAsia="楷体_GB2312"/>
          <w:color w:val="auto"/>
          <w:kern w:val="2"/>
          <w:sz w:val="32"/>
          <w:szCs w:val="32"/>
          <w:highlight w:val="none"/>
          <w:lang w:val="en-US" w:eastAsia="zh-CN"/>
        </w:rPr>
        <w:t>区政府各</w:t>
      </w:r>
      <w:r>
        <w:rPr>
          <w:rFonts w:ascii="仿宋_GB2312" w:hAnsi="仿宋_GB2312" w:eastAsia="楷体_GB2312"/>
          <w:color w:val="auto"/>
          <w:kern w:val="2"/>
          <w:sz w:val="32"/>
          <w:szCs w:val="32"/>
          <w:highlight w:val="none"/>
        </w:rPr>
        <w:t>有关部门</w:t>
      </w:r>
      <w:r>
        <w:rPr>
          <w:rFonts w:hint="eastAsia" w:ascii="仿宋_GB2312" w:hAnsi="仿宋_GB2312" w:eastAsia="楷体_GB2312"/>
          <w:color w:val="auto"/>
          <w:kern w:val="2"/>
          <w:sz w:val="32"/>
          <w:szCs w:val="32"/>
          <w:highlight w:val="none"/>
          <w:lang w:eastAsia="zh-CN"/>
        </w:rPr>
        <w:t>，</w:t>
      </w:r>
      <w:r>
        <w:rPr>
          <w:rFonts w:hint="eastAsia" w:ascii="仿宋_GB2312" w:hAnsi="仿宋_GB2312" w:eastAsia="楷体_GB2312"/>
          <w:color w:val="auto"/>
          <w:kern w:val="2"/>
          <w:sz w:val="32"/>
          <w:szCs w:val="32"/>
          <w:highlight w:val="none"/>
          <w:lang w:val="en-US" w:eastAsia="zh-CN"/>
        </w:rPr>
        <w:t>各镇人民政府、街道办事处</w:t>
      </w:r>
      <w:r>
        <w:rPr>
          <w:rFonts w:ascii="仿宋_GB2312" w:hAnsi="仿宋_GB2312" w:eastAsia="楷体_GB2312" w:cs="Times New Roman"/>
          <w:color w:val="auto"/>
          <w:sz w:val="32"/>
          <w:szCs w:val="32"/>
          <w:highlight w:val="none"/>
        </w:rPr>
        <w:t>配合）</w:t>
      </w:r>
    </w:p>
    <w:p>
      <w:pPr>
        <w:keepNext w:val="0"/>
        <w:keepLines w:val="0"/>
        <w:pageBreakBefore w:val="0"/>
        <w:kinsoku/>
        <w:wordWrap/>
        <w:overflowPunct/>
        <w:topLinePunct w:val="0"/>
        <w:autoSpaceDN/>
        <w:bidi w:val="0"/>
        <w:spacing w:before="0" w:beforeAutospacing="0" w:after="0" w:afterAutospacing="0" w:line="576" w:lineRule="exact"/>
        <w:ind w:firstLine="720"/>
        <w:jc w:val="both"/>
        <w:textAlignment w:val="auto"/>
        <w:rPr>
          <w:rFonts w:ascii="仿宋_GB2312" w:hAnsi="仿宋_GB2312" w:eastAsia="宋体" w:cs="Times New Roman"/>
          <w:color w:val="auto"/>
          <w:kern w:val="0"/>
          <w:sz w:val="32"/>
          <w:szCs w:val="32"/>
          <w:highlight w:val="none"/>
        </w:rPr>
      </w:pPr>
      <w:r>
        <w:rPr>
          <w:rFonts w:ascii="仿宋_GB2312" w:hAnsi="仿宋_GB2312" w:eastAsia="楷体_GB2312" w:cs="Times New Roman"/>
          <w:color w:val="auto"/>
          <w:sz w:val="32"/>
          <w:szCs w:val="32"/>
          <w:highlight w:val="none"/>
        </w:rPr>
        <w:t>（</w:t>
      </w:r>
      <w:r>
        <w:rPr>
          <w:rFonts w:hint="eastAsia" w:ascii="仿宋_GB2312" w:hAnsi="仿宋_GB2312" w:eastAsia="楷体_GB2312" w:cs="Times New Roman"/>
          <w:color w:val="auto"/>
          <w:sz w:val="32"/>
          <w:szCs w:val="32"/>
          <w:highlight w:val="none"/>
          <w:lang w:val="en-US" w:eastAsia="zh-CN"/>
        </w:rPr>
        <w:t>六</w:t>
      </w:r>
      <w:r>
        <w:rPr>
          <w:rFonts w:ascii="仿宋_GB2312" w:hAnsi="仿宋_GB2312" w:eastAsia="楷体_GB2312" w:cs="Times New Roman"/>
          <w:color w:val="auto"/>
          <w:sz w:val="32"/>
          <w:szCs w:val="32"/>
          <w:highlight w:val="none"/>
        </w:rPr>
        <w:t>）线上线下</w:t>
      </w:r>
      <w:r>
        <w:rPr>
          <w:rFonts w:hint="eastAsia" w:ascii="仿宋_GB2312" w:hAnsi="仿宋_GB2312" w:eastAsia="楷体_GB2312" w:cs="Times New Roman"/>
          <w:color w:val="auto"/>
          <w:sz w:val="32"/>
          <w:szCs w:val="32"/>
          <w:highlight w:val="none"/>
          <w:lang w:val="en-US" w:eastAsia="zh-CN"/>
        </w:rPr>
        <w:t>一体化建设</w:t>
      </w:r>
      <w:r>
        <w:rPr>
          <w:rFonts w:ascii="仿宋_GB2312" w:hAnsi="仿宋_GB2312" w:eastAsia="楷体_GB2312" w:cs="Times New Roman"/>
          <w:color w:val="auto"/>
          <w:sz w:val="32"/>
          <w:szCs w:val="32"/>
          <w:highlight w:val="none"/>
        </w:rPr>
        <w:t>。</w:t>
      </w:r>
      <w:r>
        <w:rPr>
          <w:rFonts w:ascii="仿宋_GB2312" w:hAnsi="仿宋_GB2312" w:eastAsia="仿宋_GB2312" w:cs="Times New Roman"/>
          <w:color w:val="auto"/>
          <w:sz w:val="32"/>
          <w:szCs w:val="32"/>
          <w:highlight w:val="none"/>
        </w:rPr>
        <w:t>按照全省统一的工作规范</w:t>
      </w:r>
      <w:r>
        <w:rPr>
          <w:rFonts w:hint="eastAsia" w:ascii="仿宋_GB2312" w:hAnsi="仿宋_GB2312" w:eastAsia="仿宋_GB2312" w:cs="Times New Roman"/>
          <w:color w:val="auto"/>
          <w:sz w:val="32"/>
          <w:szCs w:val="32"/>
          <w:highlight w:val="none"/>
          <w:lang w:eastAsia="zh-CN"/>
        </w:rPr>
        <w:t>，</w:t>
      </w:r>
      <w:r>
        <w:rPr>
          <w:rFonts w:hint="eastAsia" w:ascii="仿宋_GB2312" w:hAnsi="仿宋_GB2312" w:eastAsia="仿宋_GB2312" w:cs="Times New Roman"/>
          <w:color w:val="auto"/>
          <w:sz w:val="32"/>
          <w:szCs w:val="32"/>
          <w:highlight w:val="none"/>
          <w:lang w:val="en-US" w:eastAsia="zh-CN"/>
        </w:rPr>
        <w:t>9</w:t>
      </w:r>
      <w:r>
        <w:rPr>
          <w:rFonts w:hint="default" w:ascii="仿宋_GB2312" w:hAnsi="仿宋_GB2312" w:eastAsia="仿宋_GB2312" w:cs="Times New Roman"/>
          <w:color w:val="auto"/>
          <w:sz w:val="32"/>
          <w:szCs w:val="32"/>
          <w:highlight w:val="none"/>
          <w:lang w:val="en-US" w:eastAsia="zh-CN"/>
        </w:rPr>
        <w:t>月底前</w:t>
      </w:r>
      <w:r>
        <w:rPr>
          <w:rFonts w:hint="eastAsia" w:ascii="仿宋_GB2312" w:hAnsi="仿宋_GB2312" w:eastAsia="仿宋_GB2312" w:cs="Times New Roman"/>
          <w:color w:val="auto"/>
          <w:sz w:val="32"/>
          <w:szCs w:val="32"/>
          <w:highlight w:val="none"/>
          <w:lang w:val="en-US" w:eastAsia="zh-CN"/>
        </w:rPr>
        <w:t>，配合市级部门</w:t>
      </w:r>
      <w:r>
        <w:rPr>
          <w:rFonts w:ascii="仿宋_GB2312" w:hAnsi="仿宋_GB2312" w:eastAsia="仿宋_GB2312" w:cs="Times New Roman"/>
          <w:color w:val="auto"/>
          <w:sz w:val="32"/>
          <w:szCs w:val="32"/>
          <w:highlight w:val="none"/>
        </w:rPr>
        <w:t>在</w:t>
      </w:r>
      <w:r>
        <w:rPr>
          <w:rFonts w:hint="eastAsia" w:ascii="仿宋_GB2312" w:hAnsi="仿宋_GB2312" w:eastAsia="仿宋_GB2312" w:cs="Times New Roman"/>
          <w:color w:val="auto"/>
          <w:sz w:val="32"/>
          <w:szCs w:val="32"/>
          <w:highlight w:val="none"/>
          <w:lang w:eastAsia="zh-CN"/>
        </w:rPr>
        <w:t>“</w:t>
      </w:r>
      <w:r>
        <w:rPr>
          <w:rFonts w:hint="eastAsia" w:ascii="仿宋_GB2312" w:hAnsi="仿宋_GB2312" w:eastAsia="仿宋_GB2312" w:cs="Times New Roman"/>
          <w:color w:val="auto"/>
          <w:sz w:val="32"/>
          <w:szCs w:val="32"/>
          <w:highlight w:val="none"/>
          <w:lang w:val="en-US" w:eastAsia="zh-CN"/>
        </w:rPr>
        <w:t>山东省政务服务网</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爱山东</w:t>
      </w:r>
      <w:r>
        <w:rPr>
          <w:rFonts w:hint="eastAsia" w:ascii="仿宋_GB2312" w:hAnsi="仿宋_GB2312" w:eastAsia="仿宋_GB2312" w:cs="Times New Roman"/>
          <w:color w:val="auto"/>
          <w:sz w:val="32"/>
          <w:szCs w:val="32"/>
          <w:highlight w:val="none"/>
          <w:lang w:eastAsia="zh-CN"/>
        </w:rPr>
        <w:t>”</w:t>
      </w:r>
      <w:r>
        <w:rPr>
          <w:rFonts w:hint="eastAsia" w:ascii="仿宋_GB2312" w:hAnsi="仿宋_GB2312" w:eastAsia="仿宋_GB2312" w:cs="Times New Roman"/>
          <w:color w:val="auto"/>
          <w:sz w:val="32"/>
          <w:szCs w:val="32"/>
          <w:highlight w:val="none"/>
          <w:lang w:val="en-US" w:eastAsia="zh-CN"/>
        </w:rPr>
        <w:t>APP</w:t>
      </w:r>
      <w:r>
        <w:rPr>
          <w:rFonts w:ascii="仿宋_GB2312" w:hAnsi="仿宋_GB2312" w:eastAsia="仿宋_GB2312" w:cs="Times New Roman"/>
          <w:color w:val="auto"/>
          <w:sz w:val="32"/>
          <w:szCs w:val="32"/>
          <w:highlight w:val="none"/>
        </w:rPr>
        <w:t>等平台设置服务专区</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线上实现</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一网通办</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线下实行</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一窗受理</w:t>
      </w:r>
      <w:r>
        <w:rPr>
          <w:rFonts w:hint="eastAsia" w:ascii="仿宋_GB2312" w:hAnsi="仿宋_GB2312" w:eastAsia="仿宋_GB2312" w:cs="Times New Roman"/>
          <w:color w:val="auto"/>
          <w:sz w:val="32"/>
          <w:szCs w:val="32"/>
          <w:highlight w:val="none"/>
          <w:lang w:eastAsia="zh-CN"/>
        </w:rPr>
        <w:t>”</w:t>
      </w:r>
      <w:r>
        <w:rPr>
          <w:rFonts w:hint="default" w:ascii="仿宋_GB2312" w:hAnsi="仿宋_GB2312" w:eastAsia="仿宋_GB2312" w:cs="Times New Roman"/>
          <w:color w:val="auto"/>
          <w:sz w:val="32"/>
          <w:szCs w:val="32"/>
          <w:highlight w:val="none"/>
        </w:rPr>
        <w:t>。</w:t>
      </w:r>
      <w:r>
        <w:rPr>
          <w:rFonts w:hint="eastAsia" w:ascii="仿宋_GB2312" w:hAnsi="仿宋_GB2312" w:eastAsia="仿宋_GB2312" w:cs="Times New Roman"/>
          <w:color w:val="auto"/>
          <w:sz w:val="32"/>
          <w:szCs w:val="32"/>
          <w:highlight w:val="none"/>
          <w:lang w:val="en-US" w:eastAsia="zh-CN"/>
        </w:rPr>
        <w:t>同时，</w:t>
      </w:r>
      <w:r>
        <w:rPr>
          <w:rFonts w:ascii="仿宋_GB2312" w:hAnsi="仿宋_GB2312" w:eastAsia="仿宋_GB2312" w:cs="Times New Roman"/>
          <w:color w:val="auto"/>
          <w:sz w:val="32"/>
          <w:szCs w:val="32"/>
          <w:highlight w:val="none"/>
        </w:rPr>
        <w:t>大力优化</w:t>
      </w:r>
      <w:r>
        <w:rPr>
          <w:rFonts w:hint="eastAsia" w:ascii="仿宋_GB2312" w:hAnsi="仿宋_GB2312" w:eastAsia="仿宋_GB2312" w:cs="Times New Roman"/>
          <w:color w:val="auto"/>
          <w:sz w:val="32"/>
          <w:szCs w:val="32"/>
          <w:highlight w:val="none"/>
          <w:lang w:val="en-US" w:eastAsia="zh-CN"/>
        </w:rPr>
        <w:t>各项</w:t>
      </w:r>
      <w:r>
        <w:rPr>
          <w:rFonts w:ascii="仿宋_GB2312" w:hAnsi="仿宋_GB2312" w:eastAsia="仿宋_GB2312" w:cs="Times New Roman"/>
          <w:color w:val="auto"/>
          <w:sz w:val="32"/>
          <w:szCs w:val="32"/>
          <w:highlight w:val="none"/>
        </w:rPr>
        <w:t>便民服务</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在</w:t>
      </w:r>
      <w:r>
        <w:rPr>
          <w:rFonts w:hint="eastAsia" w:ascii="仿宋_GB2312" w:hAnsi="仿宋_GB2312" w:eastAsia="仿宋_GB2312" w:cs="Times New Roman"/>
          <w:color w:val="auto"/>
          <w:sz w:val="32"/>
          <w:szCs w:val="32"/>
          <w:highlight w:val="none"/>
          <w:lang w:val="en-US" w:eastAsia="zh-CN"/>
        </w:rPr>
        <w:t>各级</w:t>
      </w:r>
      <w:r>
        <w:rPr>
          <w:rFonts w:ascii="仿宋_GB2312" w:hAnsi="仿宋_GB2312" w:eastAsia="仿宋_GB2312" w:cs="Times New Roman"/>
          <w:color w:val="auto"/>
          <w:sz w:val="32"/>
          <w:szCs w:val="32"/>
          <w:highlight w:val="none"/>
        </w:rPr>
        <w:t>政务服务中心、便民服务中心、公共服务机构等设置相关事项办事窗口</w:t>
      </w:r>
      <w:r>
        <w:rPr>
          <w:rFonts w:hint="eastAsia" w:ascii="仿宋_GB2312" w:hAnsi="仿宋_GB2312" w:eastAsia="仿宋_GB2312" w:cs="Times New Roman"/>
          <w:color w:val="auto"/>
          <w:sz w:val="32"/>
          <w:szCs w:val="32"/>
          <w:highlight w:val="none"/>
          <w:lang w:eastAsia="zh-CN"/>
        </w:rPr>
        <w:t>，</w:t>
      </w:r>
      <w:r>
        <w:rPr>
          <w:rFonts w:hint="eastAsia" w:ascii="仿宋_GB2312" w:hAnsi="仿宋_GB2312" w:eastAsia="仿宋_GB2312" w:cs="Times New Roman"/>
          <w:color w:val="auto"/>
          <w:sz w:val="32"/>
          <w:szCs w:val="32"/>
          <w:highlight w:val="none"/>
        </w:rPr>
        <w:t>完善帮办代办和协调联动机制</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提升对老年人和残疾人等特殊群体的无障碍服务能力</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为企业和群众提供全方位服务。</w:t>
      </w:r>
      <w:r>
        <w:rPr>
          <w:rFonts w:ascii="仿宋_GB2312" w:hAnsi="仿宋_GB2312" w:eastAsia="楷体_GB2312" w:cs="Times New Roman"/>
          <w:color w:val="auto"/>
          <w:sz w:val="32"/>
          <w:szCs w:val="32"/>
          <w:highlight w:val="none"/>
        </w:rPr>
        <w:t>（</w:t>
      </w:r>
      <w:r>
        <w:rPr>
          <w:rFonts w:hint="eastAsia" w:ascii="仿宋_GB2312" w:hAnsi="仿宋_GB2312" w:eastAsia="楷体_GB2312" w:cs="Times New Roman"/>
          <w:color w:val="auto"/>
          <w:sz w:val="32"/>
          <w:szCs w:val="32"/>
          <w:highlight w:val="none"/>
          <w:lang w:val="en-US" w:eastAsia="zh-CN"/>
        </w:rPr>
        <w:t>区行政审批服务局、区</w:t>
      </w:r>
      <w:r>
        <w:rPr>
          <w:rFonts w:ascii="仿宋_GB2312" w:hAnsi="仿宋_GB2312" w:eastAsia="楷体_GB2312" w:cs="Times New Roman"/>
          <w:color w:val="auto"/>
          <w:sz w:val="32"/>
          <w:szCs w:val="32"/>
          <w:highlight w:val="none"/>
        </w:rPr>
        <w:t>大数据</w:t>
      </w:r>
      <w:r>
        <w:rPr>
          <w:rFonts w:hint="eastAsia" w:ascii="仿宋_GB2312" w:hAnsi="仿宋_GB2312" w:eastAsia="楷体_GB2312" w:cs="Times New Roman"/>
          <w:color w:val="auto"/>
          <w:sz w:val="32"/>
          <w:szCs w:val="32"/>
          <w:highlight w:val="none"/>
          <w:lang w:val="en-US" w:eastAsia="zh-CN"/>
        </w:rPr>
        <w:t>中心</w:t>
      </w:r>
      <w:r>
        <w:rPr>
          <w:rFonts w:ascii="仿宋_GB2312" w:hAnsi="仿宋_GB2312" w:eastAsia="楷体_GB2312" w:cs="Times New Roman"/>
          <w:color w:val="auto"/>
          <w:sz w:val="32"/>
          <w:szCs w:val="32"/>
          <w:highlight w:val="none"/>
        </w:rPr>
        <w:t>牵头</w:t>
      </w:r>
      <w:r>
        <w:rPr>
          <w:rFonts w:hint="eastAsia" w:ascii="仿宋_GB2312" w:hAnsi="仿宋_GB2312" w:eastAsia="楷体_GB2312" w:cs="Times New Roman"/>
          <w:color w:val="auto"/>
          <w:sz w:val="32"/>
          <w:szCs w:val="32"/>
          <w:highlight w:val="none"/>
          <w:lang w:eastAsia="zh-CN"/>
        </w:rPr>
        <w:t>；</w:t>
      </w:r>
      <w:r>
        <w:rPr>
          <w:rFonts w:hint="eastAsia" w:ascii="仿宋_GB2312" w:hAnsi="仿宋_GB2312" w:eastAsia="楷体_GB2312"/>
          <w:color w:val="auto"/>
          <w:kern w:val="2"/>
          <w:sz w:val="32"/>
          <w:szCs w:val="32"/>
          <w:highlight w:val="none"/>
          <w:lang w:val="en-US" w:eastAsia="zh-CN"/>
        </w:rPr>
        <w:t>区政府各</w:t>
      </w:r>
      <w:r>
        <w:rPr>
          <w:rFonts w:ascii="仿宋_GB2312" w:hAnsi="仿宋_GB2312" w:eastAsia="楷体_GB2312"/>
          <w:color w:val="auto"/>
          <w:kern w:val="2"/>
          <w:sz w:val="32"/>
          <w:szCs w:val="32"/>
          <w:highlight w:val="none"/>
        </w:rPr>
        <w:t>有关部门</w:t>
      </w:r>
      <w:r>
        <w:rPr>
          <w:rFonts w:hint="eastAsia" w:ascii="仿宋_GB2312" w:hAnsi="仿宋_GB2312" w:eastAsia="楷体_GB2312"/>
          <w:color w:val="auto"/>
          <w:kern w:val="2"/>
          <w:sz w:val="32"/>
          <w:szCs w:val="32"/>
          <w:highlight w:val="none"/>
          <w:lang w:eastAsia="zh-CN"/>
        </w:rPr>
        <w:t>，</w:t>
      </w:r>
      <w:r>
        <w:rPr>
          <w:rFonts w:hint="eastAsia" w:ascii="仿宋_GB2312" w:hAnsi="仿宋_GB2312" w:eastAsia="楷体_GB2312"/>
          <w:color w:val="auto"/>
          <w:kern w:val="2"/>
          <w:sz w:val="32"/>
          <w:szCs w:val="32"/>
          <w:highlight w:val="none"/>
          <w:lang w:val="en-US" w:eastAsia="zh-CN"/>
        </w:rPr>
        <w:t>各镇人民政府、街道办事处</w:t>
      </w:r>
      <w:r>
        <w:rPr>
          <w:rFonts w:ascii="仿宋_GB2312" w:hAnsi="仿宋_GB2312" w:eastAsia="楷体_GB2312" w:cs="Times New Roman"/>
          <w:color w:val="auto"/>
          <w:sz w:val="32"/>
          <w:szCs w:val="32"/>
          <w:highlight w:val="none"/>
        </w:rPr>
        <w:t>配合）</w:t>
      </w:r>
    </w:p>
    <w:p>
      <w:pPr>
        <w:pStyle w:val="5"/>
        <w:keepNext w:val="0"/>
        <w:keepLines w:val="0"/>
        <w:pageBreakBefore w:val="0"/>
        <w:kinsoku/>
        <w:wordWrap/>
        <w:overflowPunct/>
        <w:topLinePunct w:val="0"/>
        <w:autoSpaceDN/>
        <w:bidi w:val="0"/>
        <w:adjustRightInd w:val="0"/>
        <w:snapToGrid w:val="0"/>
        <w:spacing w:before="0" w:beforeAutospacing="0" w:after="0" w:afterAutospacing="0" w:line="576" w:lineRule="exact"/>
        <w:ind w:firstLine="640" w:firstLineChars="200"/>
        <w:jc w:val="both"/>
        <w:textAlignment w:val="auto"/>
        <w:rPr>
          <w:rFonts w:ascii="仿宋_GB2312" w:hAnsi="仿宋_GB2312" w:eastAsia="黑体"/>
          <w:color w:val="auto"/>
          <w:sz w:val="32"/>
          <w:szCs w:val="32"/>
          <w:highlight w:val="none"/>
        </w:rPr>
      </w:pPr>
      <w:r>
        <w:rPr>
          <w:rStyle w:val="8"/>
          <w:rFonts w:hint="eastAsia" w:ascii="仿宋_GB2312" w:hAnsi="仿宋_GB2312" w:eastAsia="黑体"/>
          <w:b w:val="0"/>
          <w:color w:val="auto"/>
          <w:sz w:val="32"/>
          <w:szCs w:val="32"/>
          <w:highlight w:val="none"/>
          <w:lang w:val="en-US" w:eastAsia="zh-CN"/>
        </w:rPr>
        <w:t>四</w:t>
      </w:r>
      <w:r>
        <w:rPr>
          <w:rStyle w:val="8"/>
          <w:rFonts w:ascii="仿宋_GB2312" w:hAnsi="仿宋_GB2312" w:eastAsia="黑体"/>
          <w:b w:val="0"/>
          <w:color w:val="auto"/>
          <w:sz w:val="32"/>
          <w:szCs w:val="32"/>
          <w:highlight w:val="none"/>
        </w:rPr>
        <w:t>、保障措施</w:t>
      </w:r>
    </w:p>
    <w:p>
      <w:pPr>
        <w:keepNext w:val="0"/>
        <w:keepLines w:val="0"/>
        <w:pageBreakBefore w:val="0"/>
        <w:kinsoku/>
        <w:wordWrap/>
        <w:overflowPunct/>
        <w:topLinePunct w:val="0"/>
        <w:autoSpaceDN/>
        <w:bidi w:val="0"/>
        <w:adjustRightInd w:val="0"/>
        <w:snapToGrid w:val="0"/>
        <w:spacing w:line="576" w:lineRule="exact"/>
        <w:ind w:firstLine="620"/>
        <w:jc w:val="both"/>
        <w:textAlignment w:val="auto"/>
        <w:rPr>
          <w:rFonts w:ascii="仿宋_GB2312" w:hAnsi="仿宋_GB2312" w:eastAsia="仿宋_GB2312" w:cs="Times New Roman"/>
          <w:color w:val="auto"/>
          <w:sz w:val="32"/>
          <w:szCs w:val="32"/>
          <w:highlight w:val="none"/>
        </w:rPr>
      </w:pPr>
      <w:r>
        <w:rPr>
          <w:rFonts w:ascii="仿宋_GB2312" w:hAnsi="仿宋_GB2312" w:eastAsia="楷体_GB2312" w:cs="Times New Roman"/>
          <w:color w:val="auto"/>
          <w:sz w:val="32"/>
          <w:szCs w:val="32"/>
          <w:highlight w:val="none"/>
        </w:rPr>
        <w:t>（一）加强组织领导。</w:t>
      </w:r>
      <w:r>
        <w:rPr>
          <w:rFonts w:hint="eastAsia" w:ascii="仿宋_GB2312" w:hAnsi="仿宋_GB2312" w:eastAsia="仿宋_GB2312" w:cs="Times New Roman"/>
          <w:color w:val="auto"/>
          <w:sz w:val="32"/>
          <w:szCs w:val="32"/>
          <w:highlight w:val="none"/>
          <w:lang w:val="en-US" w:eastAsia="zh-CN"/>
        </w:rPr>
        <w:t>区</w:t>
      </w:r>
      <w:r>
        <w:rPr>
          <w:rFonts w:ascii="仿宋_GB2312" w:hAnsi="仿宋_GB2312" w:eastAsia="仿宋_GB2312" w:cs="Times New Roman"/>
          <w:color w:val="auto"/>
          <w:sz w:val="32"/>
          <w:szCs w:val="32"/>
          <w:highlight w:val="none"/>
        </w:rPr>
        <w:t>政府办公</w:t>
      </w:r>
      <w:r>
        <w:rPr>
          <w:rFonts w:hint="eastAsia" w:ascii="仿宋_GB2312" w:hAnsi="仿宋_GB2312" w:eastAsia="仿宋_GB2312" w:cs="Times New Roman"/>
          <w:color w:val="auto"/>
          <w:sz w:val="32"/>
          <w:szCs w:val="32"/>
          <w:highlight w:val="none"/>
          <w:lang w:val="en-US" w:eastAsia="zh-CN"/>
        </w:rPr>
        <w:t>室、区行政审批服务局</w:t>
      </w:r>
      <w:r>
        <w:rPr>
          <w:rFonts w:ascii="仿宋_GB2312" w:hAnsi="仿宋_GB2312" w:eastAsia="仿宋_GB2312" w:cs="Times New Roman"/>
          <w:color w:val="auto"/>
          <w:sz w:val="32"/>
          <w:szCs w:val="32"/>
          <w:highlight w:val="none"/>
        </w:rPr>
        <w:t>负责政务服务</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双全双百</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工程的统筹协调</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建立工作台账</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明确责任单位</w:t>
      </w:r>
      <w:r>
        <w:rPr>
          <w:rFonts w:hint="eastAsia" w:ascii="仿宋_GB2312" w:hAnsi="仿宋_GB2312" w:eastAsia="仿宋_GB2312" w:cs="Times New Roman"/>
          <w:color w:val="auto"/>
          <w:sz w:val="32"/>
          <w:szCs w:val="32"/>
          <w:highlight w:val="none"/>
          <w:lang w:eastAsia="zh-CN"/>
        </w:rPr>
        <w:t>，</w:t>
      </w:r>
      <w:r>
        <w:rPr>
          <w:rFonts w:hint="eastAsia" w:ascii="仿宋_GB2312" w:hAnsi="仿宋_GB2312" w:eastAsia="仿宋_GB2312" w:cs="Times New Roman"/>
          <w:color w:val="auto"/>
          <w:sz w:val="32"/>
          <w:szCs w:val="32"/>
          <w:highlight w:val="none"/>
        </w:rPr>
        <w:t>协调解决推进过程中出现的问题</w:t>
      </w:r>
      <w:r>
        <w:rPr>
          <w:rFonts w:ascii="仿宋_GB2312" w:hAnsi="仿宋_GB2312" w:eastAsia="仿宋_GB2312" w:cs="Times New Roman"/>
          <w:color w:val="auto"/>
          <w:sz w:val="32"/>
          <w:szCs w:val="32"/>
          <w:highlight w:val="none"/>
        </w:rPr>
        <w:t>。各牵头部门要加强主责意识</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会同协同部门扎实做好各场景</w:t>
      </w:r>
      <w:r>
        <w:rPr>
          <w:rFonts w:hint="eastAsia" w:ascii="仿宋_GB2312" w:hAnsi="仿宋_GB2312" w:eastAsia="仿宋_GB2312" w:cs="Times New Roman"/>
          <w:color w:val="auto"/>
          <w:sz w:val="32"/>
          <w:szCs w:val="32"/>
          <w:highlight w:val="none"/>
          <w:lang w:val="en-US" w:eastAsia="zh-CN"/>
        </w:rPr>
        <w:t>的</w:t>
      </w:r>
      <w:r>
        <w:rPr>
          <w:rFonts w:ascii="仿宋_GB2312" w:hAnsi="仿宋_GB2312" w:eastAsia="仿宋_GB2312" w:cs="Times New Roman"/>
          <w:color w:val="auto"/>
          <w:sz w:val="32"/>
          <w:szCs w:val="32"/>
          <w:highlight w:val="none"/>
        </w:rPr>
        <w:t>事项梳理、</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一链办理</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等工作。各级各部门要高度重视</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主要负责同志要亲自抓</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压实工作责任</w:t>
      </w:r>
      <w:r>
        <w:rPr>
          <w:rFonts w:hint="eastAsia" w:ascii="仿宋_GB2312" w:hAnsi="仿宋_GB2312" w:eastAsia="仿宋_GB2312" w:cs="Times New Roman"/>
          <w:color w:val="auto"/>
          <w:sz w:val="32"/>
          <w:szCs w:val="32"/>
          <w:highlight w:val="none"/>
          <w:lang w:eastAsia="zh-CN"/>
        </w:rPr>
        <w:t>，</w:t>
      </w:r>
      <w:r>
        <w:rPr>
          <w:rFonts w:hint="eastAsia" w:ascii="仿宋_GB2312" w:hAnsi="仿宋_GB2312" w:eastAsia="仿宋_GB2312" w:cs="Times New Roman"/>
          <w:color w:val="auto"/>
          <w:sz w:val="32"/>
          <w:szCs w:val="32"/>
          <w:highlight w:val="none"/>
          <w:lang w:val="en-US" w:eastAsia="zh-CN"/>
        </w:rPr>
        <w:t>做好</w:t>
      </w:r>
      <w:r>
        <w:rPr>
          <w:rFonts w:ascii="仿宋_GB2312" w:hAnsi="仿宋_GB2312" w:eastAsia="仿宋_GB2312" w:cs="Times New Roman"/>
          <w:color w:val="auto"/>
          <w:sz w:val="32"/>
          <w:szCs w:val="32"/>
          <w:highlight w:val="none"/>
        </w:rPr>
        <w:t>政策、业务、系统、数据</w:t>
      </w:r>
      <w:r>
        <w:rPr>
          <w:rFonts w:hint="eastAsia" w:ascii="仿宋_GB2312" w:hAnsi="仿宋_GB2312" w:eastAsia="仿宋_GB2312" w:cs="Times New Roman"/>
          <w:color w:val="auto"/>
          <w:sz w:val="32"/>
          <w:szCs w:val="32"/>
          <w:highlight w:val="none"/>
          <w:lang w:val="en-US" w:eastAsia="zh-CN"/>
        </w:rPr>
        <w:t>的</w:t>
      </w:r>
      <w:r>
        <w:rPr>
          <w:rFonts w:ascii="仿宋_GB2312" w:hAnsi="仿宋_GB2312" w:eastAsia="仿宋_GB2312" w:cs="Times New Roman"/>
          <w:color w:val="auto"/>
          <w:sz w:val="32"/>
          <w:szCs w:val="32"/>
          <w:highlight w:val="none"/>
        </w:rPr>
        <w:t>支持</w:t>
      </w:r>
      <w:r>
        <w:rPr>
          <w:rFonts w:hint="eastAsia" w:ascii="仿宋_GB2312" w:hAnsi="仿宋_GB2312" w:eastAsia="仿宋_GB2312" w:cs="Times New Roman"/>
          <w:color w:val="auto"/>
          <w:sz w:val="32"/>
          <w:szCs w:val="32"/>
          <w:highlight w:val="none"/>
          <w:lang w:val="en-US" w:eastAsia="zh-CN"/>
        </w:rPr>
        <w:t>和保障</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强化推进措施</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抓好任务落实。</w:t>
      </w:r>
      <w:r>
        <w:rPr>
          <w:rFonts w:hint="eastAsia" w:ascii="仿宋_GB2312" w:hAnsi="仿宋_GB2312" w:eastAsia="仿宋_GB2312" w:cs="Times New Roman"/>
          <w:color w:val="auto"/>
          <w:sz w:val="32"/>
          <w:szCs w:val="32"/>
          <w:highlight w:val="none"/>
          <w:lang w:val="en-US" w:eastAsia="zh-CN"/>
        </w:rPr>
        <w:t>各级各部门</w:t>
      </w:r>
      <w:r>
        <w:rPr>
          <w:rFonts w:ascii="仿宋_GB2312" w:hAnsi="仿宋_GB2312" w:eastAsia="仿宋_GB2312" w:cs="Times New Roman"/>
          <w:color w:val="auto"/>
          <w:sz w:val="32"/>
          <w:szCs w:val="32"/>
          <w:highlight w:val="none"/>
        </w:rPr>
        <w:t>要</w:t>
      </w:r>
      <w:r>
        <w:rPr>
          <w:rFonts w:hint="eastAsia" w:ascii="仿宋_GB2312" w:hAnsi="仿宋_GB2312" w:eastAsia="仿宋_GB2312" w:cs="Times New Roman"/>
          <w:color w:val="auto"/>
          <w:sz w:val="32"/>
          <w:szCs w:val="32"/>
          <w:highlight w:val="none"/>
        </w:rPr>
        <w:t>积极配合市级部门开展涉及区</w:t>
      </w:r>
      <w:r>
        <w:rPr>
          <w:rFonts w:hint="eastAsia" w:ascii="仿宋_GB2312" w:hAnsi="仿宋_GB2312" w:eastAsia="仿宋_GB2312" w:cs="Times New Roman"/>
          <w:color w:val="auto"/>
          <w:sz w:val="32"/>
          <w:szCs w:val="32"/>
          <w:highlight w:val="none"/>
          <w:lang w:val="en-US" w:eastAsia="zh-CN"/>
        </w:rPr>
        <w:t>级</w:t>
      </w:r>
      <w:r>
        <w:rPr>
          <w:rFonts w:hint="eastAsia" w:ascii="仿宋_GB2312" w:hAnsi="仿宋_GB2312" w:eastAsia="仿宋_GB2312" w:cs="Times New Roman"/>
          <w:color w:val="auto"/>
          <w:sz w:val="32"/>
          <w:szCs w:val="32"/>
          <w:highlight w:val="none"/>
        </w:rPr>
        <w:t>实施事项的办理流程、集成服务梳理工作</w:t>
      </w:r>
      <w:r>
        <w:rPr>
          <w:rFonts w:hint="eastAsia" w:ascii="仿宋_GB2312" w:hAnsi="仿宋_GB2312" w:eastAsia="仿宋_GB2312" w:cs="Times New Roman"/>
          <w:color w:val="auto"/>
          <w:sz w:val="32"/>
          <w:szCs w:val="32"/>
          <w:highlight w:val="none"/>
          <w:lang w:eastAsia="zh-CN"/>
        </w:rPr>
        <w:t>；</w:t>
      </w:r>
      <w:r>
        <w:rPr>
          <w:rFonts w:hint="eastAsia" w:ascii="仿宋_GB2312" w:hAnsi="仿宋_GB2312" w:eastAsia="仿宋_GB2312" w:cs="Times New Roman"/>
          <w:color w:val="auto"/>
          <w:sz w:val="32"/>
          <w:szCs w:val="32"/>
          <w:highlight w:val="none"/>
          <w:lang w:val="en-US" w:eastAsia="zh-CN"/>
        </w:rPr>
        <w:t>同时</w:t>
      </w:r>
      <w:r>
        <w:rPr>
          <w:rFonts w:ascii="仿宋_GB2312" w:hAnsi="仿宋_GB2312" w:eastAsia="仿宋_GB2312" w:cs="Times New Roman"/>
          <w:color w:val="auto"/>
          <w:sz w:val="32"/>
          <w:szCs w:val="32"/>
          <w:highlight w:val="none"/>
        </w:rPr>
        <w:t>结合工作实际</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积极探索创新</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全力推进各项任务</w:t>
      </w:r>
      <w:r>
        <w:rPr>
          <w:rFonts w:hint="eastAsia" w:ascii="仿宋_GB2312" w:hAnsi="仿宋_GB2312" w:eastAsia="仿宋_GB2312" w:cs="Times New Roman"/>
          <w:color w:val="auto"/>
          <w:sz w:val="32"/>
          <w:szCs w:val="32"/>
          <w:highlight w:val="none"/>
          <w:lang w:val="en-US" w:eastAsia="zh-CN"/>
        </w:rPr>
        <w:t>落实</w:t>
      </w:r>
      <w:r>
        <w:rPr>
          <w:rFonts w:ascii="仿宋_GB2312" w:hAnsi="仿宋_GB2312" w:eastAsia="仿宋_GB2312" w:cs="Times New Roman"/>
          <w:color w:val="auto"/>
          <w:sz w:val="32"/>
          <w:szCs w:val="32"/>
          <w:highlight w:val="none"/>
        </w:rPr>
        <w:t>落地。</w:t>
      </w:r>
    </w:p>
    <w:p>
      <w:pPr>
        <w:keepNext w:val="0"/>
        <w:keepLines w:val="0"/>
        <w:pageBreakBefore w:val="0"/>
        <w:kinsoku/>
        <w:wordWrap/>
        <w:overflowPunct/>
        <w:topLinePunct w:val="0"/>
        <w:autoSpaceDN/>
        <w:bidi w:val="0"/>
        <w:adjustRightInd w:val="0"/>
        <w:snapToGrid w:val="0"/>
        <w:spacing w:line="576" w:lineRule="exact"/>
        <w:ind w:firstLine="620"/>
        <w:jc w:val="both"/>
        <w:textAlignment w:val="auto"/>
        <w:rPr>
          <w:rFonts w:ascii="仿宋_GB2312" w:hAnsi="仿宋_GB2312" w:eastAsia="仿宋_GB2312" w:cs="Times New Roman"/>
          <w:color w:val="auto"/>
          <w:sz w:val="32"/>
          <w:szCs w:val="32"/>
          <w:highlight w:val="none"/>
        </w:rPr>
      </w:pPr>
      <w:r>
        <w:rPr>
          <w:rFonts w:ascii="仿宋_GB2312" w:hAnsi="仿宋_GB2312" w:eastAsia="楷体_GB2312" w:cs="Times New Roman"/>
          <w:color w:val="auto"/>
          <w:sz w:val="32"/>
          <w:szCs w:val="32"/>
          <w:highlight w:val="none"/>
        </w:rPr>
        <w:t>（二）</w:t>
      </w:r>
      <w:r>
        <w:rPr>
          <w:rFonts w:hint="eastAsia" w:ascii="仿宋_GB2312" w:hAnsi="仿宋_GB2312" w:eastAsia="楷体_GB2312" w:cs="Times New Roman"/>
          <w:color w:val="auto"/>
          <w:sz w:val="32"/>
          <w:szCs w:val="32"/>
          <w:highlight w:val="none"/>
          <w:lang w:val="en-US" w:eastAsia="zh-CN"/>
        </w:rPr>
        <w:t>营造改革氛围</w:t>
      </w:r>
      <w:r>
        <w:rPr>
          <w:rFonts w:ascii="仿宋_GB2312" w:hAnsi="仿宋_GB2312" w:eastAsia="楷体_GB2312" w:cs="Times New Roman"/>
          <w:color w:val="auto"/>
          <w:sz w:val="32"/>
          <w:szCs w:val="32"/>
          <w:highlight w:val="none"/>
        </w:rPr>
        <w:t>。</w:t>
      </w:r>
      <w:r>
        <w:rPr>
          <w:rFonts w:ascii="仿宋_GB2312" w:hAnsi="仿宋_GB2312" w:eastAsia="仿宋_GB2312" w:cs="Times New Roman"/>
          <w:color w:val="auto"/>
          <w:sz w:val="32"/>
          <w:szCs w:val="32"/>
          <w:highlight w:val="none"/>
        </w:rPr>
        <w:t>各级各部门要加大对政务服务</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双全双百</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工程的宣传力度</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充分利用报纸、广播、电视、网</w:t>
      </w:r>
      <w:r>
        <w:rPr>
          <w:rFonts w:hint="eastAsia" w:ascii="仿宋_GB2312" w:hAnsi="仿宋_GB2312" w:eastAsia="仿宋_GB2312" w:cs="Times New Roman"/>
          <w:color w:val="auto"/>
          <w:sz w:val="32"/>
          <w:szCs w:val="32"/>
          <w:highlight w:val="none"/>
          <w:lang w:val="en-US" w:eastAsia="zh-CN"/>
        </w:rPr>
        <w:t>站</w:t>
      </w:r>
      <w:r>
        <w:rPr>
          <w:rFonts w:ascii="仿宋_GB2312" w:hAnsi="仿宋_GB2312" w:eastAsia="仿宋_GB2312" w:cs="Times New Roman"/>
          <w:color w:val="auto"/>
          <w:sz w:val="32"/>
          <w:szCs w:val="32"/>
          <w:highlight w:val="none"/>
        </w:rPr>
        <w:t>、新媒体等</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及时总结推广好经验好做法</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提高</w:t>
      </w:r>
      <w:r>
        <w:rPr>
          <w:rFonts w:hint="eastAsia" w:ascii="仿宋_GB2312" w:hAnsi="仿宋_GB2312" w:eastAsia="仿宋_GB2312" w:cs="Times New Roman"/>
          <w:color w:val="auto"/>
          <w:sz w:val="32"/>
          <w:szCs w:val="32"/>
          <w:highlight w:val="none"/>
          <w:lang w:val="en-US" w:eastAsia="zh-CN"/>
        </w:rPr>
        <w:t>社会公众</w:t>
      </w:r>
      <w:r>
        <w:rPr>
          <w:rFonts w:ascii="仿宋_GB2312" w:hAnsi="仿宋_GB2312" w:eastAsia="仿宋_GB2312" w:cs="Times New Roman"/>
          <w:color w:val="auto"/>
          <w:sz w:val="32"/>
          <w:szCs w:val="32"/>
          <w:highlight w:val="none"/>
        </w:rPr>
        <w:t>对政务服务</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双全双百</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工程的知晓度、参与度</w:t>
      </w:r>
      <w:r>
        <w:rPr>
          <w:rFonts w:hint="eastAsia" w:ascii="仿宋_GB2312" w:hAnsi="仿宋_GB2312" w:eastAsia="仿宋_GB2312" w:cs="Times New Roman"/>
          <w:color w:val="auto"/>
          <w:sz w:val="32"/>
          <w:szCs w:val="32"/>
          <w:highlight w:val="none"/>
          <w:lang w:eastAsia="zh-CN"/>
        </w:rPr>
        <w:t>，</w:t>
      </w:r>
      <w:r>
        <w:rPr>
          <w:rFonts w:hint="eastAsia" w:ascii="仿宋_GB2312" w:hAnsi="仿宋_GB2312" w:eastAsia="仿宋_GB2312" w:cs="Times New Roman"/>
          <w:color w:val="auto"/>
          <w:sz w:val="32"/>
          <w:szCs w:val="32"/>
          <w:highlight w:val="none"/>
          <w:lang w:val="en-US" w:eastAsia="zh-CN"/>
        </w:rPr>
        <w:t>营造社会关注、市场认可、群众满意、各方支持的良好氛围。同时</w:t>
      </w:r>
      <w:r>
        <w:rPr>
          <w:rFonts w:ascii="仿宋_GB2312" w:hAnsi="仿宋_GB2312" w:eastAsia="仿宋_GB2312" w:cs="Times New Roman"/>
          <w:color w:val="auto"/>
          <w:sz w:val="32"/>
          <w:szCs w:val="32"/>
          <w:highlight w:val="none"/>
        </w:rPr>
        <w:t>根据流程优化</w:t>
      </w:r>
      <w:r>
        <w:rPr>
          <w:rFonts w:hint="eastAsia" w:ascii="仿宋_GB2312" w:hAnsi="仿宋_GB2312" w:eastAsia="仿宋_GB2312" w:cs="Times New Roman"/>
          <w:color w:val="auto"/>
          <w:sz w:val="32"/>
          <w:szCs w:val="32"/>
          <w:highlight w:val="none"/>
          <w:lang w:val="en-US" w:eastAsia="zh-CN"/>
        </w:rPr>
        <w:t>需要</w:t>
      </w:r>
      <w:r>
        <w:rPr>
          <w:rFonts w:ascii="仿宋_GB2312" w:hAnsi="仿宋_GB2312" w:eastAsia="仿宋_GB2312" w:cs="Times New Roman"/>
          <w:color w:val="auto"/>
          <w:sz w:val="32"/>
          <w:szCs w:val="32"/>
          <w:highlight w:val="none"/>
        </w:rPr>
        <w:t>和办事需求</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及时</w:t>
      </w:r>
      <w:r>
        <w:rPr>
          <w:rFonts w:hint="eastAsia" w:ascii="仿宋_GB2312" w:hAnsi="仿宋_GB2312" w:eastAsia="仿宋_GB2312" w:cs="Times New Roman"/>
          <w:color w:val="auto"/>
          <w:sz w:val="32"/>
          <w:szCs w:val="32"/>
          <w:highlight w:val="none"/>
          <w:lang w:val="en-US" w:eastAsia="zh-CN"/>
        </w:rPr>
        <w:t>调整</w:t>
      </w:r>
      <w:r>
        <w:rPr>
          <w:rFonts w:ascii="仿宋_GB2312" w:hAnsi="仿宋_GB2312" w:eastAsia="仿宋_GB2312" w:cs="Times New Roman"/>
          <w:color w:val="auto"/>
          <w:sz w:val="32"/>
          <w:szCs w:val="32"/>
          <w:highlight w:val="none"/>
        </w:rPr>
        <w:t>充实</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双全双百</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事项清单</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探索推出更多服务</w:t>
      </w:r>
      <w:r>
        <w:rPr>
          <w:rFonts w:hint="default" w:ascii="仿宋_GB2312" w:hAnsi="仿宋_GB2312" w:eastAsia="仿宋_GB2312" w:cs="Times New Roman"/>
          <w:color w:val="auto"/>
          <w:sz w:val="32"/>
          <w:szCs w:val="32"/>
          <w:highlight w:val="none"/>
        </w:rPr>
        <w:t>场景</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配套完善业务流程和工作规范</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形成持续迭代的常态化工作机制。</w:t>
      </w:r>
    </w:p>
    <w:p>
      <w:pPr>
        <w:pStyle w:val="9"/>
        <w:keepNext w:val="0"/>
        <w:keepLines w:val="0"/>
        <w:pageBreakBefore w:val="0"/>
        <w:kinsoku/>
        <w:wordWrap/>
        <w:overflowPunct/>
        <w:topLinePunct w:val="0"/>
        <w:autoSpaceDN/>
        <w:bidi w:val="0"/>
        <w:spacing w:before="0" w:beforeAutospacing="0" w:after="0" w:afterAutospacing="0" w:line="576" w:lineRule="exact"/>
        <w:ind w:firstLine="640" w:firstLineChars="200"/>
        <w:jc w:val="both"/>
        <w:textAlignment w:val="auto"/>
        <w:rPr>
          <w:rFonts w:ascii="仿宋_GB2312" w:hAnsi="仿宋_GB2312" w:eastAsia="宋体" w:cs="Times New Roman"/>
          <w:color w:val="auto"/>
          <w:kern w:val="2"/>
          <w:sz w:val="32"/>
          <w:szCs w:val="32"/>
          <w:highlight w:val="none"/>
          <w:u w:val="single"/>
        </w:rPr>
      </w:pPr>
      <w:r>
        <w:rPr>
          <w:rFonts w:ascii="仿宋_GB2312" w:hAnsi="仿宋_GB2312" w:eastAsia="楷体_GB2312" w:cs="Times New Roman"/>
          <w:color w:val="auto"/>
          <w:sz w:val="32"/>
          <w:szCs w:val="32"/>
          <w:highlight w:val="none"/>
        </w:rPr>
        <w:t>（</w:t>
      </w:r>
      <w:r>
        <w:rPr>
          <w:rFonts w:hint="eastAsia" w:ascii="仿宋_GB2312" w:hAnsi="仿宋_GB2312" w:eastAsia="楷体_GB2312" w:cs="Times New Roman"/>
          <w:color w:val="auto"/>
          <w:sz w:val="32"/>
          <w:szCs w:val="32"/>
          <w:highlight w:val="none"/>
          <w:lang w:val="en-US" w:eastAsia="zh-CN"/>
        </w:rPr>
        <w:t>三</w:t>
      </w:r>
      <w:r>
        <w:rPr>
          <w:rFonts w:ascii="仿宋_GB2312" w:hAnsi="仿宋_GB2312" w:eastAsia="楷体_GB2312" w:cs="Times New Roman"/>
          <w:color w:val="auto"/>
          <w:sz w:val="32"/>
          <w:szCs w:val="32"/>
          <w:highlight w:val="none"/>
        </w:rPr>
        <w:t>）强化监督指导。</w:t>
      </w:r>
      <w:r>
        <w:rPr>
          <w:rFonts w:hint="eastAsia" w:ascii="仿宋_GB2312" w:hAnsi="仿宋_GB2312" w:eastAsia="仿宋_GB2312" w:cs="Times New Roman"/>
          <w:color w:val="auto"/>
          <w:sz w:val="32"/>
          <w:szCs w:val="32"/>
          <w:highlight w:val="none"/>
          <w:lang w:val="en-US" w:eastAsia="zh-CN"/>
        </w:rPr>
        <w:t>区</w:t>
      </w:r>
      <w:r>
        <w:rPr>
          <w:rFonts w:ascii="仿宋_GB2312" w:hAnsi="仿宋_GB2312" w:eastAsia="仿宋_GB2312" w:cs="Times New Roman"/>
          <w:color w:val="auto"/>
          <w:sz w:val="32"/>
          <w:szCs w:val="32"/>
          <w:highlight w:val="none"/>
        </w:rPr>
        <w:t>政府办公</w:t>
      </w:r>
      <w:r>
        <w:rPr>
          <w:rFonts w:hint="eastAsia" w:ascii="仿宋_GB2312" w:hAnsi="仿宋_GB2312" w:eastAsia="仿宋_GB2312" w:cs="Times New Roman"/>
          <w:color w:val="auto"/>
          <w:sz w:val="32"/>
          <w:szCs w:val="32"/>
          <w:highlight w:val="none"/>
          <w:lang w:val="en-US" w:eastAsia="zh-CN"/>
        </w:rPr>
        <w:t>室要</w:t>
      </w:r>
      <w:r>
        <w:rPr>
          <w:rFonts w:ascii="仿宋_GB2312" w:hAnsi="仿宋_GB2312" w:eastAsia="仿宋_GB2312" w:cs="Times New Roman"/>
          <w:color w:val="auto"/>
          <w:sz w:val="32"/>
          <w:szCs w:val="32"/>
          <w:highlight w:val="none"/>
        </w:rPr>
        <w:t>加强督促调度</w:t>
      </w:r>
      <w:r>
        <w:rPr>
          <w:rFonts w:hint="eastAsia" w:ascii="仿宋_GB2312" w:hAnsi="仿宋_GB2312" w:eastAsia="仿宋_GB2312" w:cs="Times New Roman"/>
          <w:color w:val="auto"/>
          <w:sz w:val="32"/>
          <w:szCs w:val="32"/>
          <w:highlight w:val="none"/>
          <w:lang w:eastAsia="zh-CN"/>
        </w:rPr>
        <w:t>，</w:t>
      </w:r>
      <w:r>
        <w:rPr>
          <w:rFonts w:hint="eastAsia" w:ascii="仿宋_GB2312" w:hAnsi="仿宋_GB2312" w:eastAsia="仿宋_GB2312" w:cs="Times New Roman"/>
          <w:color w:val="auto"/>
          <w:sz w:val="32"/>
          <w:szCs w:val="32"/>
          <w:highlight w:val="none"/>
        </w:rPr>
        <w:t>及时</w:t>
      </w:r>
      <w:r>
        <w:rPr>
          <w:rFonts w:hint="eastAsia" w:ascii="仿宋_GB2312" w:hAnsi="仿宋_GB2312" w:eastAsia="仿宋_GB2312" w:cs="Times New Roman"/>
          <w:color w:val="auto"/>
          <w:sz w:val="32"/>
          <w:szCs w:val="32"/>
          <w:highlight w:val="none"/>
          <w:lang w:val="en-US" w:eastAsia="zh-CN"/>
        </w:rPr>
        <w:t>组织</w:t>
      </w:r>
      <w:r>
        <w:rPr>
          <w:rFonts w:hint="eastAsia" w:ascii="仿宋_GB2312" w:hAnsi="仿宋_GB2312" w:eastAsia="仿宋_GB2312" w:cs="Times New Roman"/>
          <w:color w:val="auto"/>
          <w:sz w:val="32"/>
          <w:szCs w:val="32"/>
          <w:highlight w:val="none"/>
        </w:rPr>
        <w:t>开展工作会商和情况通报</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对重点任务完成情况</w:t>
      </w:r>
      <w:r>
        <w:rPr>
          <w:rFonts w:hint="eastAsia" w:ascii="仿宋_GB2312" w:hAnsi="仿宋_GB2312" w:eastAsia="仿宋_GB2312" w:cs="Times New Roman"/>
          <w:color w:val="auto"/>
          <w:sz w:val="32"/>
          <w:szCs w:val="32"/>
          <w:highlight w:val="none"/>
          <w:lang w:eastAsia="zh-CN"/>
        </w:rPr>
        <w:t>，</w:t>
      </w:r>
      <w:r>
        <w:rPr>
          <w:rFonts w:ascii="仿宋_GB2312" w:hAnsi="仿宋_GB2312" w:eastAsia="仿宋_GB2312" w:cs="Times New Roman"/>
          <w:color w:val="auto"/>
          <w:sz w:val="32"/>
          <w:szCs w:val="32"/>
          <w:highlight w:val="none"/>
        </w:rPr>
        <w:t>特别是对流程优化、集成办理、规范</w:t>
      </w:r>
      <w:r>
        <w:rPr>
          <w:rFonts w:hint="eastAsia" w:ascii="仿宋_GB2312" w:hAnsi="仿宋_GB2312" w:eastAsia="仿宋_GB2312" w:cs="Times New Roman"/>
          <w:color w:val="auto"/>
          <w:sz w:val="32"/>
          <w:szCs w:val="32"/>
          <w:highlight w:val="none"/>
          <w:lang w:val="en-US" w:eastAsia="zh-CN"/>
        </w:rPr>
        <w:t>落实</w:t>
      </w:r>
      <w:r>
        <w:rPr>
          <w:rFonts w:ascii="仿宋_GB2312" w:hAnsi="仿宋_GB2312" w:eastAsia="仿宋_GB2312" w:cs="Times New Roman"/>
          <w:color w:val="auto"/>
          <w:sz w:val="32"/>
          <w:szCs w:val="32"/>
          <w:highlight w:val="none"/>
        </w:rPr>
        <w:t>、平台</w:t>
      </w:r>
      <w:r>
        <w:rPr>
          <w:rFonts w:hint="eastAsia" w:ascii="仿宋_GB2312" w:hAnsi="仿宋_GB2312" w:eastAsia="仿宋_GB2312" w:cs="Times New Roman"/>
          <w:color w:val="auto"/>
          <w:sz w:val="32"/>
          <w:szCs w:val="32"/>
          <w:highlight w:val="none"/>
          <w:lang w:val="en-US" w:eastAsia="zh-CN"/>
        </w:rPr>
        <w:t>完善</w:t>
      </w:r>
      <w:r>
        <w:rPr>
          <w:rFonts w:ascii="仿宋_GB2312" w:hAnsi="仿宋_GB2312" w:eastAsia="仿宋_GB2312" w:cs="Times New Roman"/>
          <w:color w:val="auto"/>
          <w:sz w:val="32"/>
          <w:szCs w:val="32"/>
          <w:highlight w:val="none"/>
        </w:rPr>
        <w:t>、数据共享等方面进行监督检查。</w:t>
      </w:r>
      <w:r>
        <w:rPr>
          <w:rFonts w:hint="eastAsia" w:ascii="仿宋_GB2312" w:hAnsi="仿宋_GB2312" w:eastAsia="仿宋_GB2312" w:cs="Times New Roman"/>
          <w:color w:val="auto"/>
          <w:sz w:val="32"/>
          <w:szCs w:val="32"/>
          <w:highlight w:val="none"/>
          <w:lang w:val="en-US" w:eastAsia="zh-CN"/>
        </w:rPr>
        <w:t>充分利用政务服务“好差评”等方式，实现服务绩效动态评价。</w:t>
      </w:r>
      <w:r>
        <w:rPr>
          <w:rFonts w:hint="default" w:ascii="仿宋_GB2312" w:hAnsi="仿宋_GB2312" w:eastAsia="仿宋_GB2312" w:cs="Times New Roman"/>
          <w:color w:val="auto"/>
          <w:sz w:val="32"/>
          <w:szCs w:val="32"/>
          <w:highlight w:val="none"/>
          <w:lang w:val="en-US" w:eastAsia="zh-CN"/>
        </w:rPr>
        <w:t>各级各部门</w:t>
      </w:r>
      <w:r>
        <w:rPr>
          <w:rFonts w:ascii="仿宋_GB2312" w:hAnsi="仿宋_GB2312" w:eastAsia="仿宋_GB2312" w:cs="Times New Roman"/>
          <w:color w:val="auto"/>
          <w:sz w:val="32"/>
          <w:szCs w:val="32"/>
          <w:highlight w:val="none"/>
        </w:rPr>
        <w:t>相关工作落实和服务评价情况纳入全</w:t>
      </w:r>
      <w:r>
        <w:rPr>
          <w:rFonts w:hint="eastAsia" w:ascii="仿宋_GB2312" w:hAnsi="仿宋_GB2312" w:eastAsia="仿宋_GB2312" w:cs="Times New Roman"/>
          <w:color w:val="auto"/>
          <w:sz w:val="32"/>
          <w:szCs w:val="32"/>
          <w:highlight w:val="none"/>
          <w:lang w:val="en-US" w:eastAsia="zh-CN"/>
        </w:rPr>
        <w:t>区</w:t>
      </w:r>
      <w:r>
        <w:rPr>
          <w:rFonts w:ascii="仿宋_GB2312" w:hAnsi="仿宋_GB2312" w:eastAsia="仿宋_GB2312" w:cs="Times New Roman"/>
          <w:color w:val="auto"/>
          <w:sz w:val="32"/>
          <w:szCs w:val="32"/>
          <w:highlight w:val="none"/>
        </w:rPr>
        <w:t>政务服务年度评估、评价范围。</w:t>
      </w:r>
    </w:p>
    <w:p>
      <w:pPr>
        <w:pStyle w:val="5"/>
        <w:keepNext w:val="0"/>
        <w:keepLines w:val="0"/>
        <w:pageBreakBefore w:val="0"/>
        <w:kinsoku/>
        <w:wordWrap/>
        <w:overflowPunct/>
        <w:topLinePunct w:val="0"/>
        <w:autoSpaceDN/>
        <w:bidi w:val="0"/>
        <w:adjustRightInd w:val="0"/>
        <w:snapToGrid w:val="0"/>
        <w:spacing w:before="0" w:beforeAutospacing="0" w:after="0" w:afterAutospacing="0" w:line="576" w:lineRule="exact"/>
        <w:ind w:firstLine="640" w:firstLineChars="200"/>
        <w:jc w:val="both"/>
        <w:textAlignment w:val="auto"/>
        <w:rPr>
          <w:rFonts w:ascii="仿宋_GB2312" w:hAnsi="仿宋_GB2312" w:eastAsia="仿宋_GB2312"/>
          <w:color w:val="auto"/>
          <w:kern w:val="2"/>
          <w:sz w:val="32"/>
          <w:szCs w:val="32"/>
          <w:highlight w:val="none"/>
          <w:u w:val="single"/>
        </w:rPr>
      </w:pPr>
    </w:p>
    <w:p>
      <w:pPr>
        <w:pStyle w:val="5"/>
        <w:keepNext w:val="0"/>
        <w:keepLines w:val="0"/>
        <w:pageBreakBefore w:val="0"/>
        <w:kinsoku/>
        <w:wordWrap/>
        <w:overflowPunct/>
        <w:topLinePunct w:val="0"/>
        <w:autoSpaceDN/>
        <w:bidi w:val="0"/>
        <w:adjustRightInd w:val="0"/>
        <w:snapToGrid w:val="0"/>
        <w:spacing w:before="0" w:beforeAutospacing="0" w:after="0" w:afterAutospacing="0" w:line="576" w:lineRule="exact"/>
        <w:ind w:firstLine="640" w:firstLineChars="200"/>
        <w:jc w:val="both"/>
        <w:textAlignment w:val="auto"/>
        <w:rPr>
          <w:rFonts w:hint="default" w:ascii="仿宋_GB2312" w:hAnsi="仿宋_GB2312" w:eastAsia="仿宋_GB2312"/>
          <w:color w:val="auto"/>
          <w:kern w:val="2"/>
          <w:sz w:val="32"/>
          <w:szCs w:val="32"/>
          <w:highlight w:val="none"/>
          <w:u w:val="none"/>
          <w:lang w:val="en-US" w:eastAsia="zh-CN"/>
        </w:rPr>
      </w:pPr>
      <w:r>
        <w:rPr>
          <w:rFonts w:ascii="仿宋_GB2312" w:hAnsi="仿宋_GB2312" w:eastAsia="仿宋_GB2312"/>
          <w:color w:val="auto"/>
          <w:kern w:val="2"/>
          <w:sz w:val="32"/>
          <w:szCs w:val="32"/>
          <w:highlight w:val="none"/>
          <w:u w:val="none"/>
        </w:rPr>
        <w:t>附件：1.</w:t>
      </w:r>
      <w:r>
        <w:rPr>
          <w:rFonts w:hint="eastAsia" w:ascii="仿宋_GB2312" w:hAnsi="仿宋_GB2312" w:eastAsia="仿宋_GB2312"/>
          <w:color w:val="auto"/>
          <w:kern w:val="2"/>
          <w:sz w:val="32"/>
          <w:szCs w:val="32"/>
          <w:highlight w:val="none"/>
          <w:u w:val="none"/>
          <w:lang w:val="en-US" w:eastAsia="zh-CN"/>
        </w:rPr>
        <w:t>个人</w:t>
      </w:r>
      <w:r>
        <w:rPr>
          <w:rFonts w:ascii="仿宋_GB2312" w:hAnsi="仿宋_GB2312" w:eastAsia="仿宋_GB2312"/>
          <w:color w:val="auto"/>
          <w:kern w:val="2"/>
          <w:sz w:val="32"/>
          <w:szCs w:val="32"/>
          <w:highlight w:val="none"/>
          <w:u w:val="none"/>
        </w:rPr>
        <w:t>全生命周期事项清单</w:t>
      </w:r>
      <w:r>
        <w:rPr>
          <w:rFonts w:hint="eastAsia" w:ascii="仿宋_GB2312" w:hAnsi="仿宋_GB2312" w:eastAsia="仿宋_GB2312"/>
          <w:color w:val="auto"/>
          <w:kern w:val="2"/>
          <w:sz w:val="32"/>
          <w:szCs w:val="32"/>
          <w:highlight w:val="none"/>
          <w:u w:val="none"/>
          <w:lang w:val="en-US" w:eastAsia="zh-CN"/>
        </w:rPr>
        <w:t>及责任分工</w:t>
      </w:r>
    </w:p>
    <w:p>
      <w:pPr>
        <w:pStyle w:val="5"/>
        <w:keepNext w:val="0"/>
        <w:keepLines w:val="0"/>
        <w:pageBreakBefore w:val="0"/>
        <w:numPr>
          <w:ilvl w:val="0"/>
          <w:numId w:val="0"/>
        </w:numPr>
        <w:kinsoku/>
        <w:wordWrap/>
        <w:overflowPunct/>
        <w:topLinePunct w:val="0"/>
        <w:autoSpaceDN/>
        <w:bidi w:val="0"/>
        <w:adjustRightInd w:val="0"/>
        <w:snapToGrid w:val="0"/>
        <w:spacing w:before="0" w:beforeAutospacing="0" w:after="0" w:afterAutospacing="0" w:line="576" w:lineRule="exact"/>
        <w:ind w:right="0" w:rightChars="0" w:firstLine="1600" w:firstLineChars="500"/>
        <w:jc w:val="both"/>
        <w:textAlignment w:val="auto"/>
        <w:rPr>
          <w:rFonts w:hint="default" w:ascii="仿宋_GB2312" w:hAnsi="仿宋_GB2312" w:eastAsia="仿宋_GB2312"/>
          <w:color w:val="auto"/>
          <w:kern w:val="2"/>
          <w:sz w:val="32"/>
          <w:szCs w:val="32"/>
          <w:highlight w:val="none"/>
          <w:u w:val="none"/>
          <w:lang w:val="en-US" w:eastAsia="zh-CN"/>
        </w:rPr>
      </w:pPr>
      <w:r>
        <w:rPr>
          <w:rFonts w:hint="eastAsia" w:ascii="仿宋_GB2312" w:hAnsi="仿宋_GB2312" w:eastAsia="仿宋_GB2312"/>
          <w:color w:val="auto"/>
          <w:kern w:val="2"/>
          <w:sz w:val="32"/>
          <w:szCs w:val="32"/>
          <w:highlight w:val="none"/>
          <w:u w:val="none"/>
          <w:lang w:val="en-US" w:eastAsia="zh-CN"/>
        </w:rPr>
        <w:t>2.企业</w:t>
      </w:r>
      <w:r>
        <w:rPr>
          <w:rFonts w:ascii="仿宋_GB2312" w:hAnsi="仿宋_GB2312" w:eastAsia="仿宋_GB2312"/>
          <w:color w:val="auto"/>
          <w:kern w:val="2"/>
          <w:sz w:val="32"/>
          <w:szCs w:val="32"/>
          <w:highlight w:val="none"/>
          <w:u w:val="none"/>
        </w:rPr>
        <w:t>全生命周期事项清单</w:t>
      </w:r>
      <w:r>
        <w:rPr>
          <w:rFonts w:hint="eastAsia" w:ascii="仿宋_GB2312" w:hAnsi="仿宋_GB2312" w:eastAsia="仿宋_GB2312"/>
          <w:color w:val="auto"/>
          <w:kern w:val="2"/>
          <w:sz w:val="32"/>
          <w:szCs w:val="32"/>
          <w:highlight w:val="none"/>
          <w:u w:val="none"/>
          <w:lang w:val="en-US" w:eastAsia="zh-CN"/>
        </w:rPr>
        <w:t>及责任分工</w:t>
      </w:r>
    </w:p>
    <w:p>
      <w:pPr>
        <w:pStyle w:val="5"/>
        <w:keepNext w:val="0"/>
        <w:keepLines w:val="0"/>
        <w:pageBreakBefore w:val="0"/>
        <w:numPr>
          <w:ilvl w:val="0"/>
          <w:numId w:val="0"/>
        </w:numPr>
        <w:kinsoku/>
        <w:wordWrap/>
        <w:overflowPunct/>
        <w:topLinePunct w:val="0"/>
        <w:autoSpaceDN/>
        <w:bidi w:val="0"/>
        <w:adjustRightInd w:val="0"/>
        <w:snapToGrid w:val="0"/>
        <w:spacing w:before="0" w:beforeAutospacing="0" w:after="0" w:afterAutospacing="0" w:line="576" w:lineRule="exact"/>
        <w:ind w:right="0" w:rightChars="0" w:firstLine="1600" w:firstLineChars="500"/>
        <w:jc w:val="both"/>
        <w:textAlignment w:val="auto"/>
        <w:rPr>
          <w:rFonts w:hint="default" w:ascii="仿宋_GB2312" w:hAnsi="仿宋_GB2312" w:eastAsia="仿宋_GB2312"/>
          <w:color w:val="auto"/>
          <w:kern w:val="2"/>
          <w:sz w:val="32"/>
          <w:szCs w:val="32"/>
          <w:highlight w:val="none"/>
          <w:u w:val="none"/>
          <w:lang w:val="en-US" w:eastAsia="zh-CN"/>
        </w:rPr>
      </w:pPr>
      <w:r>
        <w:rPr>
          <w:rFonts w:hint="eastAsia" w:ascii="仿宋_GB2312" w:hAnsi="仿宋_GB2312" w:eastAsia="仿宋_GB2312"/>
          <w:color w:val="auto"/>
          <w:kern w:val="2"/>
          <w:sz w:val="32"/>
          <w:szCs w:val="32"/>
          <w:highlight w:val="none"/>
          <w:u w:val="none"/>
          <w:lang w:val="en-US" w:eastAsia="zh-CN"/>
        </w:rPr>
        <w:t>3.个人全生命周期“一件事”事项清单及责任分工</w:t>
      </w:r>
    </w:p>
    <w:p>
      <w:pPr>
        <w:keepNext w:val="0"/>
        <w:keepLines w:val="0"/>
        <w:pageBreakBefore w:val="0"/>
        <w:kinsoku/>
        <w:wordWrap/>
        <w:overflowPunct/>
        <w:topLinePunct w:val="0"/>
        <w:autoSpaceDE/>
        <w:autoSpaceDN/>
        <w:bidi w:val="0"/>
        <w:adjustRightInd/>
        <w:snapToGrid/>
        <w:spacing w:line="576" w:lineRule="exact"/>
        <w:ind w:firstLine="1600" w:firstLineChars="500"/>
        <w:textAlignment w:val="auto"/>
        <w:rPr>
          <w:rFonts w:hint="default" w:ascii="仿宋_GB2312" w:hAnsi="仿宋_GB2312" w:eastAsia="仿宋_GB2312"/>
          <w:color w:val="auto"/>
          <w:kern w:val="2"/>
          <w:sz w:val="32"/>
          <w:szCs w:val="32"/>
          <w:highlight w:val="none"/>
          <w:u w:val="none"/>
          <w:lang w:val="en-US" w:eastAsia="zh-CN"/>
        </w:rPr>
      </w:pPr>
      <w:r>
        <w:rPr>
          <w:rFonts w:hint="eastAsia" w:ascii="仿宋_GB2312" w:hAnsi="仿宋_GB2312" w:eastAsia="仿宋_GB2312"/>
          <w:color w:val="auto"/>
          <w:kern w:val="2"/>
          <w:sz w:val="32"/>
          <w:szCs w:val="32"/>
          <w:highlight w:val="none"/>
          <w:u w:val="none"/>
          <w:lang w:val="en-US" w:eastAsia="zh-CN"/>
        </w:rPr>
        <w:t>4.企业全生命周期“一件事”事项清单及责任分工</w:t>
      </w: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olor w:val="auto"/>
          <w:kern w:val="2"/>
          <w:sz w:val="32"/>
          <w:szCs w:val="32"/>
          <w:highlight w:val="none"/>
          <w:u w:val="none"/>
          <w:lang w:val="en-US" w:eastAsia="zh-CN"/>
        </w:rPr>
      </w:pP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olor w:val="auto"/>
          <w:kern w:val="2"/>
          <w:sz w:val="32"/>
          <w:szCs w:val="32"/>
          <w:highlight w:val="none"/>
          <w:u w:val="none"/>
          <w:lang w:val="en-US" w:eastAsia="zh-CN"/>
        </w:rPr>
      </w:pPr>
    </w:p>
    <w:p>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u w:val="none"/>
          <w:lang w:val="en-US" w:eastAsia="zh-CN"/>
        </w:rPr>
        <w:sectPr>
          <w:footerReference r:id="rId4" w:type="default"/>
          <w:pgSz w:w="11906" w:h="16838"/>
          <w:pgMar w:top="2098" w:right="1474" w:bottom="1984" w:left="1587" w:header="851" w:footer="1417"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_GB2312" w:hAnsi="仿宋_GB2312" w:eastAsia="仿宋_GB2312" w:cs="仿宋_GB2312"/>
          <w:sz w:val="32"/>
          <w:szCs w:val="32"/>
          <w:u w:val="none"/>
          <w:lang w:val="en-US" w:eastAsia="zh-CN"/>
        </w:rPr>
        <w:t xml:space="preserve">                            </w:t>
      </w: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u w:val="none"/>
          <w:lang w:val="en-US" w:eastAsia="zh-CN"/>
        </w:rPr>
      </w:pPr>
    </w:p>
    <w:tbl>
      <w:tblPr>
        <w:tblStyle w:val="6"/>
        <w:tblW w:w="10365" w:type="dxa"/>
        <w:tblInd w:w="93" w:type="dxa"/>
        <w:shd w:val="clear" w:color="auto" w:fill="auto"/>
        <w:tblLayout w:type="fixed"/>
        <w:tblCellMar>
          <w:top w:w="0" w:type="dxa"/>
          <w:left w:w="108" w:type="dxa"/>
          <w:bottom w:w="0" w:type="dxa"/>
          <w:right w:w="108" w:type="dxa"/>
        </w:tblCellMar>
      </w:tblPr>
      <w:tblGrid>
        <w:gridCol w:w="626"/>
        <w:gridCol w:w="812"/>
        <w:gridCol w:w="879"/>
        <w:gridCol w:w="2010"/>
        <w:gridCol w:w="2562"/>
        <w:gridCol w:w="1175"/>
        <w:gridCol w:w="942"/>
        <w:gridCol w:w="1359"/>
      </w:tblGrid>
      <w:tr>
        <w:tblPrEx>
          <w:shd w:val="clear" w:color="auto" w:fill="auto"/>
          <w:tblCellMar>
            <w:top w:w="0" w:type="dxa"/>
            <w:left w:w="108" w:type="dxa"/>
            <w:bottom w:w="0" w:type="dxa"/>
            <w:right w:w="108" w:type="dxa"/>
          </w:tblCellMar>
        </w:tblPrEx>
        <w:trPr>
          <w:trHeight w:val="680" w:hRule="atLeast"/>
        </w:trPr>
        <w:tc>
          <w:tcPr>
            <w:tcW w:w="10365"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Times New Roman" w:hAnsi="Times New Roman" w:eastAsia="黑体" w:cs="黑体"/>
                <w:i w:val="0"/>
                <w:iCs w:val="0"/>
                <w:color w:val="000000"/>
                <w:sz w:val="32"/>
                <w:szCs w:val="32"/>
                <w:u w:val="none"/>
              </w:rPr>
            </w:pPr>
            <w:r>
              <w:rPr>
                <w:rFonts w:hint="eastAsia" w:ascii="Times New Roman" w:hAnsi="Times New Roman" w:eastAsia="黑体" w:cs="黑体"/>
                <w:i w:val="0"/>
                <w:iCs w:val="0"/>
                <w:color w:val="000000"/>
                <w:kern w:val="0"/>
                <w:sz w:val="32"/>
                <w:szCs w:val="32"/>
                <w:u w:val="none"/>
                <w:lang w:val="en-US" w:eastAsia="zh-CN" w:bidi="ar"/>
              </w:rPr>
              <w:t>附件1</w:t>
            </w:r>
          </w:p>
        </w:tc>
      </w:tr>
      <w:tr>
        <w:tblPrEx>
          <w:tblCellMar>
            <w:top w:w="0" w:type="dxa"/>
            <w:left w:w="108" w:type="dxa"/>
            <w:bottom w:w="0" w:type="dxa"/>
            <w:right w:w="108" w:type="dxa"/>
          </w:tblCellMar>
        </w:tblPrEx>
        <w:trPr>
          <w:trHeight w:val="780" w:hRule="atLeast"/>
        </w:trPr>
        <w:tc>
          <w:tcPr>
            <w:tcW w:w="10365"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小标宋简体" w:cs="方正小标宋简体"/>
                <w:i w:val="0"/>
                <w:iCs w:val="0"/>
                <w:color w:val="000000"/>
                <w:sz w:val="44"/>
                <w:szCs w:val="44"/>
                <w:u w:val="none"/>
                <w:lang w:val="en-US"/>
              </w:rPr>
            </w:pPr>
            <w:r>
              <w:rPr>
                <w:rFonts w:hint="eastAsia" w:ascii="Times New Roman" w:hAnsi="Times New Roman" w:eastAsia="方正小标宋简体" w:cs="方正小标宋简体"/>
                <w:i w:val="0"/>
                <w:iCs w:val="0"/>
                <w:color w:val="000000"/>
                <w:kern w:val="0"/>
                <w:sz w:val="44"/>
                <w:szCs w:val="44"/>
                <w:u w:val="none"/>
                <w:lang w:val="en-US" w:eastAsia="zh-CN" w:bidi="ar"/>
              </w:rPr>
              <w:t>个人全生命周期事项清单</w:t>
            </w:r>
            <w:r>
              <w:rPr>
                <w:rFonts w:hint="eastAsia" w:eastAsia="方正小标宋简体" w:cs="方正小标宋简体"/>
                <w:i w:val="0"/>
                <w:iCs w:val="0"/>
                <w:color w:val="000000"/>
                <w:kern w:val="0"/>
                <w:sz w:val="44"/>
                <w:szCs w:val="44"/>
                <w:u w:val="none"/>
                <w:lang w:val="en-US" w:eastAsia="zh-CN" w:bidi="ar"/>
              </w:rPr>
              <w:t>及责任分工</w:t>
            </w:r>
          </w:p>
        </w:tc>
      </w:tr>
      <w:tr>
        <w:tblPrEx>
          <w:tblCellMar>
            <w:top w:w="0" w:type="dxa"/>
            <w:left w:w="108" w:type="dxa"/>
            <w:bottom w:w="0" w:type="dxa"/>
            <w:right w:w="108" w:type="dxa"/>
          </w:tblCellMar>
        </w:tblPrEx>
        <w:trPr>
          <w:trHeight w:val="6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序号</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阶段</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场景</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事项名称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事项类型</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牵头部门</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协同部门</w:t>
            </w: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1出生</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出生</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出生医学证明办理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预防接种证办理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户口登记（出生登记）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城乡居民医疗保险参保登记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76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社会保障卡服务（社会保障卡申领）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居民身份证签发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2教育</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入学</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学前教育入学报名</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区教育和体育局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义务教育入学报名</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高中教育入学报名</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高考录取查询</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户口迁移（大中专学校招生迁移）</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84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转学</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普通中小学学生学籍管理（转移服务）</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区教育和体育局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84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中等职业学校学生学籍管理（转移服务）</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助学</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学前教育政府助学金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区教育和体育局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普通高中国家助学金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中等职业教育国家助学金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申请助学贷款</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2教育</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10"/>
                <w:rFonts w:ascii="Times New Roman" w:hAnsi="Times New Roman" w:eastAsia="宋体"/>
                <w:sz w:val="22"/>
                <w:szCs w:val="22"/>
                <w:lang w:val="en-US" w:eastAsia="zh-CN" w:bidi="ar"/>
              </w:rPr>
              <w:t>2.4</w:t>
            </w:r>
            <w:r>
              <w:rPr>
                <w:rStyle w:val="10"/>
                <w:rFonts w:ascii="Times New Roman" w:hAnsi="Times New Roman" w:eastAsia="宋体"/>
                <w:sz w:val="22"/>
                <w:szCs w:val="22"/>
                <w:lang w:val="en-US" w:eastAsia="zh-CN" w:bidi="ar"/>
              </w:rPr>
              <w:br w:type="textWrapping"/>
            </w:r>
            <w:r>
              <w:rPr>
                <w:rStyle w:val="11"/>
                <w:rFonts w:ascii="Times New Roman" w:hAnsi="Times New Roman"/>
                <w:sz w:val="22"/>
                <w:szCs w:val="22"/>
                <w:lang w:val="en-US" w:eastAsia="zh-CN" w:bidi="ar"/>
              </w:rPr>
              <w:t>毕业</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公共人力资源市场服务（网上发布求职信息）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毕业生网签协议</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区教育和体育局</w:t>
            </w:r>
          </w:p>
        </w:tc>
      </w:tr>
      <w:tr>
        <w:tblPrEx>
          <w:tblCellMar>
            <w:top w:w="0" w:type="dxa"/>
            <w:left w:w="108" w:type="dxa"/>
            <w:bottom w:w="0" w:type="dxa"/>
            <w:right w:w="108" w:type="dxa"/>
          </w:tblCellMar>
        </w:tblPrEx>
        <w:trPr>
          <w:trHeight w:val="4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毕业生录入协议</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区教育和体育局</w:t>
            </w:r>
          </w:p>
        </w:tc>
      </w:tr>
      <w:tr>
        <w:tblPrEx>
          <w:tblCellMar>
            <w:top w:w="0" w:type="dxa"/>
            <w:left w:w="108" w:type="dxa"/>
            <w:bottom w:w="0" w:type="dxa"/>
            <w:right w:w="108" w:type="dxa"/>
          </w:tblCellMar>
        </w:tblPrEx>
        <w:trPr>
          <w:trHeight w:val="4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毕业生解除就业信息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区教育和体育局</w:t>
            </w:r>
          </w:p>
        </w:tc>
      </w:tr>
      <w:tr>
        <w:trPr>
          <w:trHeight w:val="6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高校毕业生就业服务</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就业报到证改派手续办理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就业报到证调整手续办理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离校未就业毕业生登记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师范类毕业生就业手续办理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区教育和体育局</w:t>
            </w: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户口迁移（大中专毕业生就业、回原籍迁移）</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5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3退役</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退役</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退役军人报到登记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区退役军人事务局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户口登记（退出现役落户）</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发放自主就业退役士兵一次性经济补助金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退役军人就业创业培训</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伤残性质认定和伤残等级评定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带病回乡退伍军人的认定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2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4工作</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职业</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资格</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教师资格认定</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幼儿园、小学和初级中学教师资格认定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区教育和体育局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11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高级中学教师、中等职业学校教师资格和中等职业学校实习教师资格认定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律师执业、变更、注销许可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区司法局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4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医师执业注册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86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护士执业注册</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县级执业登记和备案的医疗卫生机构护士执业注册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82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市级执业登记的医疗卫生机构护士执业注册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86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省级执业登记的医疗卫生机构护士执业注册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执业药师注册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特种设备作业人员资格认定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4工作</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人才</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引进</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高层次人才服务</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“山东惠才卡”办理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78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人才服务保障凭证办理（市级）</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78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人才服务保障凭证办理（县级）</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78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社会</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保障</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社会保险登记</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企业社会保险登记（灵活就业人员社会保险参保登记）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居民养老保险参保登记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居民和灵活就业人员社会保险费缴纳</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区医疗保障分局、区税务局</w:t>
            </w: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居民基本养老保险关系转续</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社会保险记录查询打印</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个人参保缴费证明查询打印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参保人员失业保险关系迁移证明打印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个人权益记录查询打印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职工参保登记（灵活就业人员医疗保险参保登记）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6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基本医疗保险关系转移接续</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医疗保险关系转出</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医疗保险关系转入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医疗保险参保人员个人账户一次性支取</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64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医疗保险缴费证明打印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6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住房公积金缴存</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住房公积金个人账户信息变更</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住房公积金个人账户封存、启封</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住房公积金异地转移</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住房公积金同城转移</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开具职工住房公积金缴存证明</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出具贷款职工住房公积金缴存使用证明</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812"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4工作</w:t>
            </w:r>
          </w:p>
        </w:tc>
        <w:tc>
          <w:tcPr>
            <w:tcW w:w="879"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社会</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保障</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工伤认定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8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工伤职工劳动能力鉴定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8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工伤职工劳动能力复查鉴定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8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职工非因工伤残或因病丧失劳动能力程度鉴定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流动人员人事管理服务</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流动人员人事档案接收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流动人员人事档案转出</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流动人员人事档案材料收集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流动人员人事档案借（查）阅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4.4   失业</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开展就业失业登记工作</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个体经营或者灵活就业人员失业登记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单位就业转失业人员失业登记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无就业经历人员失业登记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8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失业保险金申领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7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5置业</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5.1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购置</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新房</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新建商品房交易合同网签备案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64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契税申报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trHeight w:val="8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不动产登记</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预告登记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9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Style w:val="12"/>
                <w:rFonts w:ascii="Times New Roman" w:hAnsi="Times New Roman"/>
                <w:sz w:val="22"/>
                <w:szCs w:val="22"/>
                <w:lang w:val="en-US" w:eastAsia="zh-CN" w:bidi="ar"/>
              </w:rPr>
              <w:t>房屋等建筑物、构筑物所有权转移登记（企业</w:t>
            </w:r>
            <w:r>
              <w:rPr>
                <w:rStyle w:val="10"/>
                <w:rFonts w:ascii="Times New Roman" w:hAnsi="Times New Roman" w:eastAsia="宋体"/>
                <w:sz w:val="22"/>
                <w:szCs w:val="22"/>
                <w:lang w:val="en-US" w:eastAsia="zh-CN" w:bidi="ar"/>
              </w:rPr>
              <w:t>—</w:t>
            </w:r>
            <w:r>
              <w:rPr>
                <w:rStyle w:val="12"/>
                <w:rFonts w:ascii="Times New Roman" w:hAnsi="Times New Roman"/>
                <w:sz w:val="22"/>
                <w:szCs w:val="22"/>
                <w:lang w:val="en-US" w:eastAsia="zh-CN" w:bidi="ar"/>
              </w:rPr>
              <w:t>个人）</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9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抵押权登记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9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5.2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购置</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二手房</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二手房交易合同网签备案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w:t>
            </w:r>
            <w:r>
              <w:rPr>
                <w:rFonts w:hint="eastAsia" w:cs="宋体"/>
                <w:i w:val="0"/>
                <w:iCs w:val="0"/>
                <w:color w:val="000000"/>
                <w:kern w:val="0"/>
                <w:sz w:val="22"/>
                <w:szCs w:val="22"/>
                <w:u w:val="none"/>
                <w:lang w:val="en-US" w:eastAsia="zh-CN" w:bidi="ar"/>
              </w:rPr>
              <w:t>乡</w:t>
            </w:r>
            <w:r>
              <w:rPr>
                <w:rFonts w:hint="eastAsia" w:ascii="Times New Roman" w:hAnsi="Times New Roman" w:eastAsia="宋体" w:cs="宋体"/>
                <w:i w:val="0"/>
                <w:iCs w:val="0"/>
                <w:color w:val="000000"/>
                <w:kern w:val="0"/>
                <w:sz w:val="22"/>
                <w:szCs w:val="22"/>
                <w:u w:val="none"/>
                <w:lang w:val="en-US" w:eastAsia="zh-CN" w:bidi="ar"/>
              </w:rPr>
              <w:t>建设局</w:t>
            </w:r>
          </w:p>
        </w:tc>
      </w:tr>
      <w:tr>
        <w:tblPrEx>
          <w:tblCellMar>
            <w:top w:w="0" w:type="dxa"/>
            <w:left w:w="108" w:type="dxa"/>
            <w:bottom w:w="0" w:type="dxa"/>
            <w:right w:w="108" w:type="dxa"/>
          </w:tblCellMar>
        </w:tblPrEx>
        <w:trPr>
          <w:trHeight w:val="769"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房产交易纳税申报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trHeight w:val="96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不动产登记</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房屋等建筑物、构筑物所有权转移登记（个人—个人）</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801"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抵押权登记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98"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5置业</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5.3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租赁</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住房</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公租房保障对象资格确认</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5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公租房租赁补贴资格确认</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职工申请提取住房公积金的核准</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租赁公共租赁住房提取住房公积金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租赁自住住房提取住房公积金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599"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5.4</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建设</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农房</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农村村民住宅用地审核</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区自然资源局、区规划管理办公室</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区农业农村局</w:t>
            </w:r>
          </w:p>
        </w:tc>
      </w:tr>
      <w:tr>
        <w:tblPrEx>
          <w:tblCellMar>
            <w:top w:w="0" w:type="dxa"/>
            <w:left w:w="108" w:type="dxa"/>
            <w:bottom w:w="0" w:type="dxa"/>
            <w:right w:w="108" w:type="dxa"/>
          </w:tblCellMar>
        </w:tblPrEx>
        <w:trPr>
          <w:trHeight w:val="451"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乡村建设规划许可证</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51"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宅基地使用权及房屋所有权首次登记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5.5</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公积金</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职工申请提取住房公积金的核准</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购买自住住房提取住房公积金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偿还购房贷款本息提取住房公积金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大修自住住房提取住房公积金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建造、翻建自住住房提取住房公积金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8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缴存住房公积金的职工申请住房公积金贷款核准</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购买新建自住住房公积金贷款</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10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购买再交易自住住房公积金贷款</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1005"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个人住房公积金缴存贷款等信息查询</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个人住房公积金缴存贷款等信息查询</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6出行</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6.1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交通</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电动自行车登记挂牌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区交警大队</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66"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机动车驾驶证核发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35"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机动车登记（注册登记、变更登记、转移登记、抵押登记、注销登记）</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Style w:val="12"/>
                <w:rFonts w:ascii="Times New Roman" w:hAnsi="Times New Roman"/>
                <w:sz w:val="22"/>
                <w:szCs w:val="22"/>
                <w:lang w:val="en-US" w:eastAsia="zh-CN" w:bidi="ar"/>
              </w:rPr>
              <w:t>机动车登记</w:t>
            </w:r>
            <w:r>
              <w:rPr>
                <w:rStyle w:val="10"/>
                <w:rFonts w:hint="eastAsia"/>
                <w:sz w:val="22"/>
                <w:szCs w:val="22"/>
                <w:lang w:val="en-US" w:eastAsia="zh-CN" w:bidi="ar"/>
              </w:rPr>
              <w:t>—</w:t>
            </w:r>
            <w:r>
              <w:rPr>
                <w:rStyle w:val="12"/>
                <w:rFonts w:ascii="Times New Roman" w:hAnsi="Times New Roman"/>
                <w:sz w:val="22"/>
                <w:szCs w:val="22"/>
                <w:lang w:val="en-US" w:eastAsia="zh-CN" w:bidi="ar"/>
              </w:rPr>
              <w:t>注册登记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339"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Style w:val="12"/>
                <w:rFonts w:ascii="Times New Roman" w:hAnsi="Times New Roman"/>
                <w:sz w:val="22"/>
                <w:szCs w:val="22"/>
                <w:lang w:val="en-US" w:eastAsia="zh-CN" w:bidi="ar"/>
              </w:rPr>
              <w:t>机动车登记</w:t>
            </w:r>
            <w:r>
              <w:rPr>
                <w:rStyle w:val="10"/>
                <w:rFonts w:hint="eastAsia"/>
                <w:sz w:val="22"/>
                <w:szCs w:val="22"/>
                <w:lang w:val="en-US" w:eastAsia="zh-CN" w:bidi="ar"/>
              </w:rPr>
              <w:t>—</w:t>
            </w:r>
            <w:r>
              <w:rPr>
                <w:rStyle w:val="12"/>
                <w:rFonts w:ascii="Times New Roman" w:hAnsi="Times New Roman"/>
                <w:sz w:val="22"/>
                <w:szCs w:val="22"/>
                <w:lang w:val="en-US" w:eastAsia="zh-CN" w:bidi="ar"/>
              </w:rPr>
              <w:t>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Style w:val="12"/>
                <w:rFonts w:ascii="Times New Roman" w:hAnsi="Times New Roman"/>
                <w:sz w:val="22"/>
                <w:szCs w:val="22"/>
                <w:lang w:val="en-US" w:eastAsia="zh-CN" w:bidi="ar"/>
              </w:rPr>
              <w:t>机动车登记</w:t>
            </w:r>
            <w:r>
              <w:rPr>
                <w:rStyle w:val="10"/>
                <w:rFonts w:hint="eastAsia"/>
                <w:sz w:val="22"/>
                <w:szCs w:val="22"/>
                <w:lang w:val="en-US" w:eastAsia="zh-CN" w:bidi="ar"/>
              </w:rPr>
              <w:t>—</w:t>
            </w:r>
            <w:r>
              <w:rPr>
                <w:rStyle w:val="12"/>
                <w:rFonts w:ascii="Times New Roman" w:hAnsi="Times New Roman"/>
                <w:sz w:val="22"/>
                <w:szCs w:val="22"/>
                <w:lang w:val="en-US" w:eastAsia="zh-CN" w:bidi="ar"/>
              </w:rPr>
              <w:t>转移登记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51"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Style w:val="12"/>
                <w:rFonts w:ascii="Times New Roman" w:hAnsi="Times New Roman"/>
                <w:sz w:val="22"/>
                <w:szCs w:val="22"/>
                <w:lang w:val="en-US" w:eastAsia="zh-CN" w:bidi="ar"/>
              </w:rPr>
              <w:t>机动车登记</w:t>
            </w:r>
            <w:r>
              <w:rPr>
                <w:rStyle w:val="10"/>
                <w:rFonts w:hint="eastAsia"/>
                <w:sz w:val="22"/>
                <w:szCs w:val="22"/>
                <w:lang w:val="en-US" w:eastAsia="zh-CN" w:bidi="ar"/>
              </w:rPr>
              <w:t>—</w:t>
            </w:r>
            <w:r>
              <w:rPr>
                <w:rStyle w:val="12"/>
                <w:rFonts w:ascii="Times New Roman" w:hAnsi="Times New Roman"/>
                <w:sz w:val="22"/>
                <w:szCs w:val="22"/>
                <w:lang w:val="en-US" w:eastAsia="zh-CN" w:bidi="ar"/>
              </w:rPr>
              <w:t>抵押登记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35"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Style w:val="12"/>
                <w:rFonts w:ascii="Times New Roman" w:hAnsi="Times New Roman"/>
                <w:sz w:val="22"/>
                <w:szCs w:val="22"/>
                <w:lang w:val="en-US" w:eastAsia="zh-CN" w:bidi="ar"/>
              </w:rPr>
              <w:t>机动车登记</w:t>
            </w:r>
            <w:r>
              <w:rPr>
                <w:rStyle w:val="10"/>
                <w:rFonts w:hint="eastAsia"/>
                <w:sz w:val="22"/>
                <w:szCs w:val="22"/>
                <w:lang w:val="en-US" w:eastAsia="zh-CN" w:bidi="ar"/>
              </w:rPr>
              <w:t>—</w:t>
            </w:r>
            <w:r>
              <w:rPr>
                <w:rStyle w:val="12"/>
                <w:rFonts w:ascii="Times New Roman" w:hAnsi="Times New Roman"/>
                <w:sz w:val="22"/>
                <w:szCs w:val="22"/>
                <w:lang w:val="en-US" w:eastAsia="zh-CN" w:bidi="ar"/>
              </w:rPr>
              <w:t>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6出行</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6.1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交通</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车辆购置税申报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核发机动车检验合格标志</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w:t>
            </w:r>
          </w:p>
        </w:tc>
        <w:tc>
          <w:tcPr>
            <w:tcW w:w="8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机动车行驶证补发、换发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w:t>
            </w:r>
          </w:p>
        </w:tc>
        <w:tc>
          <w:tcPr>
            <w:tcW w:w="8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机动车号牌补发、换发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w:t>
            </w:r>
          </w:p>
        </w:tc>
        <w:tc>
          <w:tcPr>
            <w:tcW w:w="8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交通违法处理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w:t>
            </w:r>
          </w:p>
        </w:tc>
        <w:tc>
          <w:tcPr>
            <w:tcW w:w="8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交通罚款缴纳</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45"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w:t>
            </w:r>
          </w:p>
        </w:tc>
        <w:tc>
          <w:tcPr>
            <w:tcW w:w="8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6.2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出入境</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普通护照签发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788"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8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内地居民往来港澳通行证和签注签发（须在指定地点办理的赴香港或澳门签注除外）</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806"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w:t>
            </w:r>
          </w:p>
        </w:tc>
        <w:tc>
          <w:tcPr>
            <w:tcW w:w="8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大陆居民往来台湾通行证和签注签发（须在指定地点办理的赴台湾签注除外）</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51"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7婚育</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7.1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婚育</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内地居民结婚登记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51"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涉外、涉港澳台居民及华侨结婚登记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66"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内地居民离婚登记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513"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涉外、涉港澳台居民及华侨离婚登记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生育登记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r>
      <w:tr>
        <w:tblPrEx>
          <w:tblCellMar>
            <w:top w:w="0" w:type="dxa"/>
            <w:left w:w="108" w:type="dxa"/>
            <w:bottom w:w="0" w:type="dxa"/>
            <w:right w:w="108" w:type="dxa"/>
          </w:tblCellMar>
        </w:tblPrEx>
        <w:trPr>
          <w:trHeight w:val="693"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8就医</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8.1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医疗</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服务</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基本医疗保险参保人员享受门诊慢性病病种待遇认定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6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住院病历复制和查阅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r>
      <w:tr>
        <w:tblPrEx>
          <w:tblCellMar>
            <w:top w:w="0" w:type="dxa"/>
            <w:left w:w="108" w:type="dxa"/>
            <w:bottom w:w="0" w:type="dxa"/>
            <w:right w:w="108" w:type="dxa"/>
          </w:tblCellMar>
        </w:tblPrEx>
        <w:trPr>
          <w:trHeight w:val="6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基本医疗保险参保人员异地就医备案</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长期异地工作人员备案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55"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异地长期居住人员备案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异地安置退休人员备案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6"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异地急诊转住院联网备案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转外就医备案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8就医</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8.2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就医</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结算</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生育保险待遇核准支付</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产前检查费支付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生育医疗费支付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计划生育医疗费支付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生育津贴支付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9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工伤保险待遇核定支付</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工伤职工转诊转院申请确认（工伤职工异地就医登记备案）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108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工伤医疗（康复）待遇核定支付（含住院伙食补助费核定支付）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12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异地工伤医疗（康复）待遇核定支付（含交通食宿费核定支付）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9救助</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9.1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残疾人</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救助</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残疾人证新办、换领、迁移、挂失补办、类别（等级）变更、注销</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区残联</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4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困难残疾人生活补贴</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r>
      <w:tr>
        <w:tblPrEx>
          <w:tblCellMar>
            <w:top w:w="0" w:type="dxa"/>
            <w:left w:w="108" w:type="dxa"/>
            <w:bottom w:w="0" w:type="dxa"/>
            <w:right w:w="108" w:type="dxa"/>
          </w:tblCellMar>
        </w:tblPrEx>
        <w:trPr>
          <w:trHeight w:val="12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山东省残疾儿童康复救助</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山东省视力、听力、言语、肢体、智力等残疾儿童和孤独症儿童康复救助</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山东省听力残疾儿童人工耳蜗康复救助</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山东省肢体残疾儿童矫治手术康复救助</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重度残疾人护理补贴</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r>
      <w:tr>
        <w:tblPrEx>
          <w:tblCellMar>
            <w:top w:w="0" w:type="dxa"/>
            <w:left w:w="108" w:type="dxa"/>
            <w:bottom w:w="0" w:type="dxa"/>
            <w:right w:w="108" w:type="dxa"/>
          </w:tblCellMar>
        </w:tblPrEx>
        <w:trPr>
          <w:trHeight w:val="5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9.2   困难人员救助</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城乡居民最低生活保障金给付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特困人员供养给付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临时救助给付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经济困难老年人补贴给付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公共就业专项服务活动</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就业困难人员认定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灵活就业人员申领社会保险补贴</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个人申领职业培训补贴</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个人申领职业技能鉴定补贴</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10养老</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10.1  养老</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《山东省老年人优待证》办理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r>
      <w:tr>
        <w:tblPrEx>
          <w:tblCellMar>
            <w:top w:w="0" w:type="dxa"/>
            <w:left w:w="108" w:type="dxa"/>
            <w:bottom w:w="0" w:type="dxa"/>
            <w:right w:w="108" w:type="dxa"/>
          </w:tblCellMar>
        </w:tblPrEx>
        <w:trPr>
          <w:trHeight w:val="7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参保人员达到法定退休年龄领取基本养老保险待遇资格确认</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7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参保人员因病、特殊工种提前退休领取基本养老保险待遇资格确认</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104</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养老保险待遇核定支付</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居民养老保险待遇核定支付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企业养老保险待遇核定支付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96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105</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职工申请提取住房公积金的核准</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离休、退休提取住房公积金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106</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社会保险登记</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待遇发放账号信息维护</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107</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高龄津贴发放</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r>
      <w:tr>
        <w:tblPrEx>
          <w:tblCellMar>
            <w:top w:w="0" w:type="dxa"/>
            <w:left w:w="108" w:type="dxa"/>
            <w:bottom w:w="0" w:type="dxa"/>
            <w:right w:w="108" w:type="dxa"/>
          </w:tblCellMar>
        </w:tblPrEx>
        <w:trPr>
          <w:trHeight w:val="9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108</w:t>
            </w:r>
          </w:p>
        </w:tc>
        <w:tc>
          <w:tcPr>
            <w:tcW w:w="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11身后</w:t>
            </w: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11.1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后事</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死亡医学证明办理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区公安分局、区卫生健康局</w:t>
            </w:r>
          </w:p>
        </w:tc>
      </w:tr>
      <w:tr>
        <w:tblPrEx>
          <w:tblCellMar>
            <w:top w:w="0" w:type="dxa"/>
            <w:left w:w="108" w:type="dxa"/>
            <w:bottom w:w="0" w:type="dxa"/>
            <w:right w:w="108" w:type="dxa"/>
          </w:tblCellMar>
        </w:tblPrEx>
        <w:trPr>
          <w:trHeight w:val="5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109</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火化遗体</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110</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火化证明</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111</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户口注销（死亡注销）</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112</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11.2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继承</w:t>
            </w: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失业人员一次性丧葬补助金及抚恤金申领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900" w:hRule="atLeast"/>
        </w:trPr>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养老保险待遇核定支付</w:t>
            </w: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企业职工基本养老保险一次性待遇申领（在职）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106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企业职工基本养老保险个人账户一次性待遇申领（退休人员死亡）</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企业离退休人员丧葬补助金、抚恤金申领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720" w:hRule="atLeast"/>
        </w:trPr>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居民养老保险注销登记及一次性待遇核定支付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u w:val="none"/>
              </w:rPr>
            </w:pPr>
          </w:p>
        </w:tc>
      </w:tr>
      <w:tr>
        <w:tblPrEx>
          <w:tblCellMar>
            <w:top w:w="0" w:type="dxa"/>
            <w:left w:w="108" w:type="dxa"/>
            <w:bottom w:w="0" w:type="dxa"/>
            <w:right w:w="108" w:type="dxa"/>
          </w:tblCellMar>
        </w:tblPrEx>
        <w:trPr>
          <w:trHeight w:val="7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职工申请提取住房公积金的核准（死亡或被宣告死亡提取住房公积金）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59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115</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印花税申报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trHeight w:val="8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w:t>
            </w:r>
          </w:p>
        </w:tc>
        <w:tc>
          <w:tcPr>
            <w:tcW w:w="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8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不动产登记（房屋等建筑物、构筑物所有权转移登记—继承或受遗赠）</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区自然资源局、区税务局</w:t>
            </w:r>
          </w:p>
        </w:tc>
      </w:tr>
    </w:tbl>
    <w:p>
      <w:pPr>
        <w:keepNext w:val="0"/>
        <w:keepLines w:val="0"/>
        <w:pageBreakBefore w:val="0"/>
        <w:kinsoku/>
        <w:wordWrap/>
        <w:overflowPunct/>
        <w:topLinePunct w:val="0"/>
        <w:autoSpaceDE/>
        <w:autoSpaceDN/>
        <w:bidi w:val="0"/>
        <w:adjustRightInd/>
        <w:snapToGrid/>
        <w:spacing w:line="576" w:lineRule="exact"/>
        <w:ind w:firstLine="3520" w:firstLineChars="1600"/>
        <w:textAlignment w:val="auto"/>
        <w:rPr>
          <w:rFonts w:hint="eastAsia"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ind w:firstLine="3520" w:firstLineChars="1600"/>
        <w:textAlignment w:val="auto"/>
        <w:rPr>
          <w:rFonts w:hint="eastAsia"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ind w:firstLine="3520" w:firstLineChars="1600"/>
        <w:textAlignment w:val="auto"/>
        <w:rPr>
          <w:rFonts w:hint="eastAsia"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tbl>
      <w:tblPr>
        <w:tblStyle w:val="6"/>
        <w:tblW w:w="10362" w:type="dxa"/>
        <w:tblInd w:w="93" w:type="dxa"/>
        <w:shd w:val="clear" w:color="auto" w:fill="auto"/>
        <w:tblLayout w:type="fixed"/>
        <w:tblCellMar>
          <w:top w:w="0" w:type="dxa"/>
          <w:left w:w="108" w:type="dxa"/>
          <w:bottom w:w="0" w:type="dxa"/>
          <w:right w:w="108" w:type="dxa"/>
        </w:tblCellMar>
      </w:tblPr>
      <w:tblGrid>
        <w:gridCol w:w="555"/>
        <w:gridCol w:w="44"/>
        <w:gridCol w:w="686"/>
        <w:gridCol w:w="749"/>
        <w:gridCol w:w="1809"/>
        <w:gridCol w:w="834"/>
        <w:gridCol w:w="1826"/>
        <w:gridCol w:w="31"/>
        <w:gridCol w:w="1113"/>
        <w:gridCol w:w="60"/>
        <w:gridCol w:w="620"/>
        <w:gridCol w:w="40"/>
        <w:gridCol w:w="1847"/>
        <w:gridCol w:w="148"/>
      </w:tblGrid>
      <w:tr>
        <w:tblPrEx>
          <w:tblCellMar>
            <w:top w:w="0" w:type="dxa"/>
            <w:left w:w="108" w:type="dxa"/>
            <w:bottom w:w="0" w:type="dxa"/>
            <w:right w:w="108" w:type="dxa"/>
          </w:tblCellMar>
        </w:tblPrEx>
        <w:trPr>
          <w:gridAfter w:val="1"/>
          <w:wAfter w:w="148" w:type="dxa"/>
          <w:trHeight w:val="680" w:hRule="atLeast"/>
        </w:trPr>
        <w:tc>
          <w:tcPr>
            <w:tcW w:w="10214" w:type="dxa"/>
            <w:gridSpan w:val="1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32"/>
                <w:szCs w:val="32"/>
                <w:u w:val="none"/>
                <w:lang w:val="en-US" w:eastAsia="zh-CN" w:bidi="ar"/>
              </w:rPr>
              <w:t>附件2</w:t>
            </w:r>
          </w:p>
        </w:tc>
      </w:tr>
      <w:tr>
        <w:tblPrEx>
          <w:tblCellMar>
            <w:top w:w="0" w:type="dxa"/>
            <w:left w:w="108" w:type="dxa"/>
            <w:bottom w:w="0" w:type="dxa"/>
            <w:right w:w="108" w:type="dxa"/>
          </w:tblCellMar>
        </w:tblPrEx>
        <w:trPr>
          <w:gridAfter w:val="1"/>
          <w:wAfter w:w="148" w:type="dxa"/>
          <w:trHeight w:val="570" w:hRule="atLeast"/>
        </w:trPr>
        <w:tc>
          <w:tcPr>
            <w:tcW w:w="10214" w:type="dxa"/>
            <w:gridSpan w:val="1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小标宋简体" w:cs="方正小标宋简体"/>
                <w:i w:val="0"/>
                <w:iCs w:val="0"/>
                <w:color w:val="000000"/>
                <w:sz w:val="22"/>
                <w:szCs w:val="22"/>
                <w:u w:val="none"/>
                <w:lang w:val="en-US"/>
              </w:rPr>
            </w:pPr>
            <w:r>
              <w:rPr>
                <w:rFonts w:hint="eastAsia" w:ascii="Times New Roman" w:hAnsi="Times New Roman" w:eastAsia="方正小标宋简体" w:cs="方正小标宋简体"/>
                <w:i w:val="0"/>
                <w:iCs w:val="0"/>
                <w:color w:val="000000"/>
                <w:kern w:val="0"/>
                <w:sz w:val="44"/>
                <w:szCs w:val="44"/>
                <w:u w:val="none"/>
                <w:lang w:val="en-US" w:eastAsia="zh-CN" w:bidi="ar"/>
              </w:rPr>
              <w:t>企业全生命周期事项清单</w:t>
            </w:r>
            <w:r>
              <w:rPr>
                <w:rFonts w:hint="eastAsia" w:eastAsia="方正小标宋简体" w:cs="方正小标宋简体"/>
                <w:i w:val="0"/>
                <w:iCs w:val="0"/>
                <w:color w:val="000000"/>
                <w:kern w:val="0"/>
                <w:sz w:val="44"/>
                <w:szCs w:val="44"/>
                <w:u w:val="none"/>
                <w:lang w:val="en-US" w:eastAsia="zh-CN" w:bidi="ar"/>
              </w:rPr>
              <w:t>及责任分工</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序号</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阶段</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场景</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事项名称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事项类型</w:t>
            </w:r>
          </w:p>
        </w:tc>
        <w:tc>
          <w:tcPr>
            <w:tcW w:w="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牵头部门</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协同部门</w:t>
            </w:r>
          </w:p>
        </w:tc>
      </w:tr>
      <w:tr>
        <w:tblPrEx>
          <w:tblCellMar>
            <w:top w:w="0" w:type="dxa"/>
            <w:left w:w="108" w:type="dxa"/>
            <w:bottom w:w="0" w:type="dxa"/>
            <w:right w:w="108" w:type="dxa"/>
          </w:tblCellMar>
        </w:tblPrEx>
        <w:trPr>
          <w:gridAfter w:val="1"/>
          <w:wAfter w:w="148" w:type="dxa"/>
          <w:trHeight w:val="72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w:t>
            </w:r>
          </w:p>
        </w:tc>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企业开办</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1.1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开办</w:t>
            </w:r>
          </w:p>
        </w:tc>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公司（企业）设立登记</w:t>
            </w: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公司设立登记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7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非公司企业法人设立登记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7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外商投资企业设立登记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gridAfter w:val="1"/>
          <w:wAfter w:w="148" w:type="dxa"/>
          <w:trHeight w:val="7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分公司设立登记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7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营业单位、非法人分支机构设立登记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7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外商投资企业分支机构设立登记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公章刻制备案</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涉税办理</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医疗保险单位参保登记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gridAfter w:val="1"/>
          <w:wAfter w:w="148" w:type="dxa"/>
          <w:trHeight w:val="8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预约银行开户</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w:t>
            </w:r>
          </w:p>
        </w:tc>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企业准营</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生产许可办理</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建筑施工企业安全生产许可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工业产品生产许可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11</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二、三类医疗器械生产许可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72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12</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排污许可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tblCellMar>
            <w:top w:w="0" w:type="dxa"/>
            <w:left w:w="108" w:type="dxa"/>
            <w:bottom w:w="0" w:type="dxa"/>
            <w:right w:w="108" w:type="dxa"/>
          </w:tblCellMar>
        </w:tblPrEx>
        <w:trPr>
          <w:gridAfter w:val="1"/>
          <w:wAfter w:w="148" w:type="dxa"/>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13</w:t>
            </w:r>
          </w:p>
        </w:tc>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企业准营</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经营许可办理</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14</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gridAfter w:val="1"/>
          <w:wAfter w:w="148" w:type="dxa"/>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15</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16</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烟草专卖零售许可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区烟草专卖局</w:t>
            </w:r>
          </w:p>
        </w:tc>
      </w:tr>
      <w:tr>
        <w:tblPrEx>
          <w:tblCellMar>
            <w:top w:w="0" w:type="dxa"/>
            <w:left w:w="108" w:type="dxa"/>
            <w:bottom w:w="0" w:type="dxa"/>
            <w:right w:w="108" w:type="dxa"/>
          </w:tblCellMar>
        </w:tblPrEx>
        <w:trPr>
          <w:gridAfter w:val="1"/>
          <w:wAfter w:w="148" w:type="dxa"/>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17</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药品经营许可（零售）</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18</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19</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第三类医疗器械经营许可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20</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旅馆业特种行业许可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21</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危险货物运输经营以外的道路货物运输经营许可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22</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城市公共汽（电）车客运经营（含线路经营）许可</w:t>
            </w: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城市公共汽电车客运经营许可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城市公交线路经营许可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23</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道路客运（班车客运、包车客运、旅游客运）及班线经营许可</w:t>
            </w: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道路班车客运（含班线）经营许可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道路包车客运经营许可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24</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出租汽车经营许可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25</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对外贸易经营者备案登记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26</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农药经营许可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27</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兽药经营许可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28</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2.3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社会服务许可办理</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医疗机构设置审批及执业登记和校验</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29</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民办职业技能培训机构审批</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30</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经营性人力资源服务机构从事职业中介活动许可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31</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劳务派遣经营许可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8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32</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互联网上网服务营业场所经营单位从事互联网上网服务经营活动许可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33</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包装装潢印刷品和其他印刷品印刷企业设立</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2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34</w:t>
            </w:r>
          </w:p>
        </w:tc>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企业运营</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员工</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保障</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公共人力资源市场服务（网上发布招聘信息）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2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35</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开展就业失业登记工作（单位就业登记）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36</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劳动用工备案</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37</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社会保险登记</w:t>
            </w: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企业职工参保登记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7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工程建设项目办理工伤保险参保登记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38</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职工参保登记（医保）</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39</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企业社会保险缴费基数申报</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40</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企业职工医疗保险费、生育保险费的申报核定</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41</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单位医疗保险工资申报</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gridAfter w:val="1"/>
          <w:wAfter w:w="148" w:type="dxa"/>
          <w:trHeight w:val="6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42</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企业社会保险费缴纳</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区税务局、区医疗保障分局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43</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企业养老保险关系转入</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44</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住房公积金缴存</w:t>
            </w: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住房公积金个人账户设立</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住房公积金汇（补）缴</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gridAfter w:val="1"/>
          <w:wAfter w:w="148" w:type="dxa"/>
          <w:trHeight w:val="7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住房公积金缴存基数、缴存比例调整</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gridAfter w:val="1"/>
          <w:wAfter w:w="148" w:type="dxa"/>
          <w:trHeight w:val="74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开具单位住房公积金缴存证明等</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gridAfter w:val="1"/>
          <w:wAfter w:w="148" w:type="dxa"/>
          <w:trHeight w:val="6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45</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确有困难的单位住房公积金降低缴存比例或者缓缴审核</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46</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纳税</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服务</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纳税人资格信息报告（一般纳税人登记等事项）</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47</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纳税人制度信息报告（存款账户账号报告等事项）</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435"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48</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发票管理</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419"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49</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纳税申报（各项税费）</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466"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50</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税收优惠</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716"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51</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出口退（免）税</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区商务局、</w:t>
            </w:r>
            <w:r>
              <w:rPr>
                <w:rFonts w:hint="eastAsia" w:cs="宋体"/>
                <w:i w:val="0"/>
                <w:iCs w:val="0"/>
                <w:color w:val="000000"/>
                <w:kern w:val="0"/>
                <w:sz w:val="22"/>
                <w:szCs w:val="22"/>
                <w:u w:val="none"/>
                <w:lang w:val="en-US" w:eastAsia="zh-CN" w:bidi="ar"/>
              </w:rPr>
              <w:t>人民银行博山区支行</w:t>
            </w:r>
          </w:p>
        </w:tc>
      </w:tr>
      <w:tr>
        <w:tblPrEx>
          <w:tblCellMar>
            <w:top w:w="0" w:type="dxa"/>
            <w:left w:w="108" w:type="dxa"/>
            <w:bottom w:w="0" w:type="dxa"/>
            <w:right w:w="108" w:type="dxa"/>
          </w:tblCellMar>
        </w:tblPrEx>
        <w:trPr>
          <w:gridAfter w:val="1"/>
          <w:wAfter w:w="148" w:type="dxa"/>
          <w:trHeight w:val="56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52</w:t>
            </w:r>
          </w:p>
        </w:tc>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企业运营</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财产</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登记</w:t>
            </w:r>
          </w:p>
        </w:tc>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不动产登记</w:t>
            </w: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建设用地使用权登记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4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房屋等建筑物、构筑物所有权登记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区税务局、区住房和城乡建设局</w:t>
            </w:r>
          </w:p>
        </w:tc>
      </w:tr>
      <w:tr>
        <w:tblPrEx>
          <w:tblCellMar>
            <w:top w:w="0" w:type="dxa"/>
            <w:left w:w="108" w:type="dxa"/>
            <w:bottom w:w="0" w:type="dxa"/>
            <w:right w:w="108" w:type="dxa"/>
          </w:tblCellMar>
        </w:tblPrEx>
        <w:trPr>
          <w:gridAfter w:val="1"/>
          <w:wAfter w:w="148" w:type="dxa"/>
          <w:trHeight w:val="48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抵押权登记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48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53</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机动车登记（注册登记、变更登记、转移登记、抵押登记、注销登记）</w:t>
            </w: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机动车登记-注册登记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区交警大队</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48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机动车登记-变更登记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48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机动车登记-转移登记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48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机动车登记-抵押登记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48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机动车登记-注销登记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467"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54</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动产和权利担保登记</w:t>
            </w: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动产抵押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467"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应收账款质押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434"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存款单、仓单、提单质押</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4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融资租赁</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6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保理</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10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55</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股权出质登记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区行政审批服务局、区市场监督管理局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56</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3.4</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扶持</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补贴</w:t>
            </w:r>
          </w:p>
        </w:tc>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创业担保贷款、创业补贴服务</w:t>
            </w: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小微企业申请创业担保贷款资格审核</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一次性创业补贴申领</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一次性创业岗位开发补贴申领</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57</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企业申领稳岗返还</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92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58</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公共就业专项服务活动</w:t>
            </w: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用人单位吸纳就业困难人员申领岗位补贴和社会保险补贴</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4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培训机构代领职业培训补贴</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6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培训机构代领职业技能鉴定补贴</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小微企业吸纳高校毕业生社会保险补贴申领</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59</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用人单位按比例安排残疾人就业情况申报</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区残联</w:t>
            </w:r>
          </w:p>
        </w:tc>
      </w:tr>
      <w:tr>
        <w:tblPrEx>
          <w:tblCellMar>
            <w:top w:w="0" w:type="dxa"/>
            <w:left w:w="108" w:type="dxa"/>
            <w:bottom w:w="0" w:type="dxa"/>
            <w:right w:w="108" w:type="dxa"/>
          </w:tblCellMar>
        </w:tblPrEx>
        <w:trPr>
          <w:gridAfter w:val="1"/>
          <w:wAfter w:w="148" w:type="dxa"/>
          <w:trHeight w:val="52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60</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技术合同认定登记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区科技局</w:t>
            </w:r>
          </w:p>
        </w:tc>
      </w:tr>
      <w:tr>
        <w:tblPrEx>
          <w:tblCellMar>
            <w:top w:w="0" w:type="dxa"/>
            <w:left w:w="108" w:type="dxa"/>
            <w:bottom w:w="0" w:type="dxa"/>
            <w:right w:w="108" w:type="dxa"/>
          </w:tblCellMar>
        </w:tblPrEx>
        <w:trPr>
          <w:gridAfter w:val="1"/>
          <w:wAfter w:w="148" w:type="dxa"/>
          <w:trHeight w:val="5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61</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知识产权维权援助</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62</w:t>
            </w:r>
          </w:p>
        </w:tc>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投资建设</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投资</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立项</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企业投资项目核准</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区行政审批服务局、区自然资源、区规划管理办公室</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63</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企业投资项目备案</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64</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节能审查</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65</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建设项目用地预审与选址意见书</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66</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建设项目环境影响评价审批</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67</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环境影响登记表备案</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68</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生产建设项目水土保持方案审批</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69</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70</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建设项目用地以有偿方式使用国有建设用地审查</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71</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建设用地规划许可证</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区规划管理办公室</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72</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4.2</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规划</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许可</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结合民用建筑修建防空地下室审批</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773"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73</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防空地下室易地建设审批</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819"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74</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建设工程规划许可证</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区规划管理办公室</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75</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建设工程规划验线</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区规划管理办公室</w:t>
            </w:r>
          </w:p>
        </w:tc>
      </w:tr>
      <w:tr>
        <w:tblPrEx>
          <w:tblCellMar>
            <w:top w:w="0" w:type="dxa"/>
            <w:left w:w="108" w:type="dxa"/>
            <w:bottom w:w="0" w:type="dxa"/>
            <w:right w:w="108" w:type="dxa"/>
          </w:tblCellMar>
        </w:tblPrEx>
        <w:trPr>
          <w:gridAfter w:val="1"/>
          <w:wAfter w:w="148" w:type="dxa"/>
          <w:trHeight w:val="10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76</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4.3</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施工</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许可</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施工图设计文件审查</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区住房和城乡建设局、国网供电公司博山分公司</w:t>
            </w: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77</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建设工程消防设计审查</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78</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市政设施建设类审批</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79</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工程建设涉及城市绿地、树木审批</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80</w:t>
            </w:r>
          </w:p>
        </w:tc>
        <w:tc>
          <w:tcPr>
            <w:tcW w:w="68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城市建筑垃圾处置核准</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81</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城镇污水排入排水管网许可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8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82</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建筑工程施工许可证核发</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73"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83</w:t>
            </w:r>
          </w:p>
        </w:tc>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投资建设</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4.4</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竣工</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验收</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建设工程竣工规划核实</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区住房城乡建设局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区规划管理办公室</w:t>
            </w:r>
          </w:p>
        </w:tc>
      </w:tr>
      <w:tr>
        <w:tblPrEx>
          <w:tblCellMar>
            <w:top w:w="0" w:type="dxa"/>
            <w:left w:w="108" w:type="dxa"/>
            <w:bottom w:w="0" w:type="dxa"/>
            <w:right w:w="108" w:type="dxa"/>
          </w:tblCellMar>
        </w:tblPrEx>
        <w:trPr>
          <w:gridAfter w:val="1"/>
          <w:wAfter w:w="148" w:type="dxa"/>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84</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人防工程竣工验收备案</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85</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特殊建设工程消防验收</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86</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其他建设工程消防验收备案</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87</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房屋建筑工程和市政基础设施工程竣工验收备案</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88</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建设工程档案验收</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243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89</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房地产开发项目竣工综合验收备案</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w:t>
            </w:r>
            <w:r>
              <w:rPr>
                <w:rFonts w:hint="eastAsia" w:cs="宋体"/>
                <w:i w:val="0"/>
                <w:iCs w:val="0"/>
                <w:color w:val="000000"/>
                <w:kern w:val="0"/>
                <w:sz w:val="22"/>
                <w:szCs w:val="22"/>
                <w:u w:val="none"/>
                <w:lang w:val="en-US" w:eastAsia="zh-CN" w:bidi="ar"/>
              </w:rPr>
              <w:t>教育和体育</w:t>
            </w:r>
            <w:r>
              <w:rPr>
                <w:rFonts w:hint="eastAsia" w:ascii="Times New Roman" w:hAnsi="Times New Roman" w:eastAsia="宋体" w:cs="宋体"/>
                <w:i w:val="0"/>
                <w:iCs w:val="0"/>
                <w:color w:val="000000"/>
                <w:kern w:val="0"/>
                <w:sz w:val="22"/>
                <w:szCs w:val="22"/>
                <w:u w:val="none"/>
                <w:lang w:val="en-US" w:eastAsia="zh-CN" w:bidi="ar"/>
              </w:rPr>
              <w:t>局、区民政局、区自然资源局、区规划管理办公室、区商务局、区文化和旅游局、区</w:t>
            </w:r>
            <w:r>
              <w:rPr>
                <w:rFonts w:hint="eastAsia" w:cs="宋体"/>
                <w:i w:val="0"/>
                <w:iCs w:val="0"/>
                <w:color w:val="000000"/>
                <w:kern w:val="0"/>
                <w:sz w:val="22"/>
                <w:szCs w:val="22"/>
                <w:u w:val="none"/>
                <w:lang w:val="en-US" w:eastAsia="zh-CN" w:bidi="ar"/>
              </w:rPr>
              <w:t>卫生健康局</w:t>
            </w:r>
            <w:r>
              <w:rPr>
                <w:rFonts w:hint="eastAsia" w:ascii="Times New Roman" w:hAnsi="Times New Roman" w:eastAsia="宋体" w:cs="宋体"/>
                <w:i w:val="0"/>
                <w:iCs w:val="0"/>
                <w:color w:val="000000"/>
                <w:kern w:val="0"/>
                <w:sz w:val="22"/>
                <w:szCs w:val="22"/>
                <w:u w:val="none"/>
                <w:lang w:val="en-US" w:eastAsia="zh-CN" w:bidi="ar"/>
              </w:rPr>
              <w:t>，水电气暖专营单位，通信、有线专营单位</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90</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生产建设项目水土保持设施自主验收报备</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区水利局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91</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4.5</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市政</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公用</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供水报装</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区水利局</w:t>
            </w:r>
          </w:p>
        </w:tc>
      </w:tr>
      <w:tr>
        <w:tblPrEx>
          <w:tblCellMar>
            <w:top w:w="0" w:type="dxa"/>
            <w:left w:w="108" w:type="dxa"/>
            <w:bottom w:w="0" w:type="dxa"/>
            <w:right w:w="108" w:type="dxa"/>
          </w:tblCellMar>
        </w:tblPrEx>
        <w:trPr>
          <w:gridAfter w:val="1"/>
          <w:wAfter w:w="148" w:type="dxa"/>
          <w:trHeight w:val="8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92</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供电报装</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国网供电公司博山分公司</w:t>
            </w:r>
          </w:p>
        </w:tc>
      </w:tr>
      <w:tr>
        <w:tblPrEx>
          <w:tblCellMar>
            <w:top w:w="0" w:type="dxa"/>
            <w:left w:w="108" w:type="dxa"/>
            <w:bottom w:w="0" w:type="dxa"/>
            <w:right w:w="108" w:type="dxa"/>
          </w:tblCellMar>
        </w:tblPrEx>
        <w:trPr>
          <w:gridAfter w:val="1"/>
          <w:wAfter w:w="148" w:type="dxa"/>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93</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燃气报装</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gridAfter w:val="1"/>
          <w:wAfter w:w="148" w:type="dxa"/>
          <w:trHeight w:val="54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94</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热力报装</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rPr>
          <w:gridAfter w:val="1"/>
          <w:wAfter w:w="148" w:type="dxa"/>
          <w:trHeight w:val="197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95</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通信报装</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中国联通淄博市博山分公司、中国移动通信淄博市博山分公司、中国电信淄博博山分公司</w:t>
            </w:r>
          </w:p>
        </w:tc>
      </w:tr>
      <w:tr>
        <w:tblPrEx>
          <w:tblCellMar>
            <w:top w:w="0" w:type="dxa"/>
            <w:left w:w="108" w:type="dxa"/>
            <w:bottom w:w="0" w:type="dxa"/>
            <w:right w:w="108" w:type="dxa"/>
          </w:tblCellMar>
        </w:tblPrEx>
        <w:trPr>
          <w:gridAfter w:val="1"/>
          <w:wAfter w:w="148" w:type="dxa"/>
          <w:trHeight w:val="729"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96</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排水报装</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6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97</w:t>
            </w:r>
          </w:p>
        </w:tc>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5</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企业变更</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5.1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变更</w:t>
            </w:r>
          </w:p>
        </w:tc>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公司（企业）变更登记</w:t>
            </w: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公司变更登记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6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非公司企业法人变更登记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52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外商投资企业变更登记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gridAfter w:val="1"/>
          <w:wAfter w:w="148" w:type="dxa"/>
          <w:trHeight w:val="46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分公司变更登记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营业单位、企业非法人分支机构变更登记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外商投资企业分支机构变更登记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98</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社会保险单位（项目）基本信息变更</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99</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医疗保险单位变更登记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100</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住房公积金单位缴存登记信息变更</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区住房公积金管理中心</w:t>
            </w: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101</w:t>
            </w:r>
          </w:p>
        </w:tc>
        <w:tc>
          <w:tcPr>
            <w:tcW w:w="6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6</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企业退出</w:t>
            </w:r>
          </w:p>
        </w:tc>
        <w:tc>
          <w:tcPr>
            <w:tcW w:w="7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6.1</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企业</w:t>
            </w:r>
            <w:r>
              <w:rPr>
                <w:rFonts w:hint="eastAsia" w:ascii="Times New Roman" w:hAnsi="Times New Roman" w:eastAsia="黑体" w:cs="黑体"/>
                <w:i w:val="0"/>
                <w:iCs w:val="0"/>
                <w:color w:val="000000"/>
                <w:kern w:val="0"/>
                <w:sz w:val="22"/>
                <w:szCs w:val="22"/>
                <w:u w:val="none"/>
                <w:lang w:val="en-US" w:eastAsia="zh-CN" w:bidi="ar"/>
              </w:rPr>
              <w:br w:type="textWrapping"/>
            </w:r>
            <w:r>
              <w:rPr>
                <w:rFonts w:hint="eastAsia" w:ascii="Times New Roman" w:hAnsi="Times New Roman" w:eastAsia="黑体" w:cs="黑体"/>
                <w:i w:val="0"/>
                <w:iCs w:val="0"/>
                <w:color w:val="000000"/>
                <w:kern w:val="0"/>
                <w:sz w:val="22"/>
                <w:szCs w:val="22"/>
                <w:u w:val="none"/>
                <w:lang w:val="en-US" w:eastAsia="zh-CN" w:bidi="ar"/>
              </w:rPr>
              <w:t>注销</w:t>
            </w:r>
          </w:p>
        </w:tc>
        <w:tc>
          <w:tcPr>
            <w:tcW w:w="18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公司（企业）注销登记</w:t>
            </w: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公司（企业）注销登记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非公司企业法人注销登记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外商投资企业注销登记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分公司注销登记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营业单位、企业非法人分支机构注销登记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gridAfter w:val="1"/>
          <w:wAfter w:w="148" w:type="dxa"/>
          <w:trHeight w:val="600" w:hRule="atLeast"/>
        </w:trPr>
        <w:tc>
          <w:tcPr>
            <w:tcW w:w="59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18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6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外商投资企业分支机构注销登记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102</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税务注销（清税申报）</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103</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企业社会保险注销登记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104</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医疗保险单位注销登记</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gridAfter w:val="1"/>
          <w:wAfter w:w="148" w:type="dxa"/>
          <w:trHeight w:val="60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105</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住房公积金单位缴存登记注销</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gridAfter w:val="1"/>
          <w:wAfter w:w="148" w:type="dxa"/>
          <w:trHeight w:val="560" w:hRule="atLeast"/>
        </w:trPr>
        <w:tc>
          <w:tcPr>
            <w:tcW w:w="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106</w:t>
            </w: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7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黑体" w:cs="黑体"/>
                <w:i w:val="0"/>
                <w:iCs w:val="0"/>
                <w:color w:val="000000"/>
                <w:sz w:val="22"/>
                <w:szCs w:val="22"/>
                <w:u w:val="none"/>
              </w:rPr>
            </w:pP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预约银行销户</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r>
      <w:tr>
        <w:tblPrEx>
          <w:tblCellMar>
            <w:top w:w="0" w:type="dxa"/>
            <w:left w:w="108" w:type="dxa"/>
            <w:bottom w:w="0" w:type="dxa"/>
            <w:right w:w="108" w:type="dxa"/>
          </w:tblCellMar>
        </w:tblPrEx>
        <w:trPr>
          <w:trHeight w:val="680" w:hRule="atLeast"/>
        </w:trPr>
        <w:tc>
          <w:tcPr>
            <w:tcW w:w="1285" w:type="dxa"/>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32"/>
                <w:szCs w:val="32"/>
                <w:u w:val="none"/>
                <w:lang w:val="en-US" w:eastAsia="zh-CN" w:bidi="ar"/>
              </w:rPr>
              <w:t>附件3</w:t>
            </w:r>
          </w:p>
        </w:tc>
        <w:tc>
          <w:tcPr>
            <w:tcW w:w="3392" w:type="dxa"/>
            <w:gridSpan w:val="3"/>
            <w:tcBorders>
              <w:top w:val="nil"/>
              <w:left w:val="nil"/>
              <w:bottom w:val="nil"/>
              <w:right w:val="nil"/>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26" w:type="dxa"/>
            <w:tcBorders>
              <w:top w:val="nil"/>
              <w:left w:val="nil"/>
              <w:bottom w:val="nil"/>
              <w:right w:val="nil"/>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204" w:type="dxa"/>
            <w:gridSpan w:val="3"/>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22"/>
                <w:szCs w:val="22"/>
                <w:u w:val="none"/>
              </w:rPr>
            </w:pPr>
          </w:p>
        </w:tc>
        <w:tc>
          <w:tcPr>
            <w:tcW w:w="660" w:type="dxa"/>
            <w:gridSpan w:val="2"/>
            <w:tcBorders>
              <w:top w:val="nil"/>
              <w:left w:val="nil"/>
              <w:bottom w:val="nil"/>
              <w:right w:val="nil"/>
            </w:tcBorders>
            <w:shd w:val="clear" w:color="auto" w:fill="auto"/>
            <w:vAlign w:val="center"/>
          </w:tcPr>
          <w:p>
            <w:pPr>
              <w:rPr>
                <w:rFonts w:hint="eastAsia" w:ascii="Times New Roman" w:hAnsi="Times New Roman" w:eastAsia="宋体" w:cs="宋体"/>
                <w:i w:val="0"/>
                <w:iCs w:val="0"/>
                <w:color w:val="000000"/>
                <w:sz w:val="22"/>
                <w:szCs w:val="22"/>
                <w:u w:val="none"/>
              </w:rPr>
            </w:pPr>
          </w:p>
        </w:tc>
        <w:tc>
          <w:tcPr>
            <w:tcW w:w="1995" w:type="dxa"/>
            <w:gridSpan w:val="2"/>
            <w:tcBorders>
              <w:top w:val="nil"/>
              <w:left w:val="nil"/>
              <w:bottom w:val="nil"/>
              <w:right w:val="nil"/>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70" w:hRule="atLeast"/>
        </w:trPr>
        <w:tc>
          <w:tcPr>
            <w:tcW w:w="10362" w:type="dxa"/>
            <w:gridSpan w:val="14"/>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小标宋简体" w:cs="方正小标宋简体"/>
                <w:i w:val="0"/>
                <w:iCs w:val="0"/>
                <w:color w:val="000000"/>
                <w:sz w:val="22"/>
                <w:szCs w:val="22"/>
                <w:u w:val="none"/>
                <w:lang w:val="en-US"/>
              </w:rPr>
            </w:pPr>
            <w:r>
              <w:rPr>
                <w:rFonts w:hint="eastAsia" w:ascii="Times New Roman" w:hAnsi="Times New Roman" w:eastAsia="方正小标宋简体" w:cs="方正小标宋简体"/>
                <w:i w:val="0"/>
                <w:iCs w:val="0"/>
                <w:color w:val="000000"/>
                <w:kern w:val="0"/>
                <w:sz w:val="44"/>
                <w:szCs w:val="44"/>
                <w:u w:val="none"/>
                <w:lang w:val="en-US" w:eastAsia="zh-CN" w:bidi="ar"/>
              </w:rPr>
              <w:t>个人全生命周期“一件事”事项清单</w:t>
            </w:r>
            <w:r>
              <w:rPr>
                <w:rFonts w:hint="eastAsia" w:eastAsia="方正小标宋简体" w:cs="方正小标宋简体"/>
                <w:i w:val="0"/>
                <w:iCs w:val="0"/>
                <w:color w:val="000000"/>
                <w:kern w:val="0"/>
                <w:sz w:val="44"/>
                <w:szCs w:val="44"/>
                <w:u w:val="none"/>
                <w:lang w:val="en-US" w:eastAsia="zh-CN" w:bidi="ar"/>
              </w:rPr>
              <w:t>及责任分工</w:t>
            </w:r>
          </w:p>
        </w:tc>
      </w:tr>
      <w:tr>
        <w:tblPrEx>
          <w:tblCellMar>
            <w:top w:w="0" w:type="dxa"/>
            <w:left w:w="108" w:type="dxa"/>
            <w:bottom w:w="0" w:type="dxa"/>
            <w:right w:w="108" w:type="dxa"/>
          </w:tblCellMar>
        </w:tblPrEx>
        <w:trPr>
          <w:trHeight w:val="540" w:hRule="atLeast"/>
        </w:trPr>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序号</w:t>
            </w:r>
          </w:p>
        </w:tc>
        <w:tc>
          <w:tcPr>
            <w:tcW w:w="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一件事</w:t>
            </w: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事项名称</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事项类型</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牵头部门</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协同部门</w:t>
            </w:r>
          </w:p>
        </w:tc>
      </w:tr>
      <w:tr>
        <w:tblPrEx>
          <w:tblCellMar>
            <w:top w:w="0" w:type="dxa"/>
            <w:left w:w="108" w:type="dxa"/>
            <w:bottom w:w="0" w:type="dxa"/>
            <w:right w:w="108" w:type="dxa"/>
          </w:tblCellMar>
        </w:tblPrEx>
        <w:trPr>
          <w:trHeight w:val="62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新生儿出生一件事</w:t>
            </w: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出生医学证明办理</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预防接种证办理</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户口登记（出生登记）</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6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城乡居民医疗保险参保登记</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社会保障卡服务（社会保障卡申领）</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6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居民身份证签发</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7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入园（入学）一件事</w:t>
            </w: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儿童预防接种信息查询</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区教育和体育局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户籍证明（适用于登记项目内容变更更正、注销户口、亲属关系等）</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依法查询、复制不动产登记资料</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社保缴费证明</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48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退役一件事</w:t>
            </w: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退役军人报到登记</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区退役军人事务局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户口登记（退出现役落户）</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6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发放自主就业退役士兵一次性经济补助金</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退役军人就业创业培训</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伤残性质认定和伤残等级评定</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带病回乡退伍军人的认定</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养老保险关系转移接续（退役军人养老保险关系转入）</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6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基本医疗保险关系转移接续</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6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医疗保险参保和变更登记（职工参保登记）</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个体劳动者（灵活就业人员）参保登记</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rPr>
          <w:trHeight w:val="64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个体劳动者就业创业一件事</w:t>
            </w:r>
          </w:p>
        </w:tc>
        <w:tc>
          <w:tcPr>
            <w:tcW w:w="52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流动人员人事管理服务（流动人员人事档案接收）</w:t>
            </w:r>
          </w:p>
        </w:tc>
        <w:tc>
          <w:tcPr>
            <w:tcW w:w="12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8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个体劳动者（灵活就业人员）社会保险参保登记</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企业社会保险登记（灵活就业人员社会保险参保登记）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居民养老保险参保登记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3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企业职工参保登记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9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个体经营或者灵活就业人员就业登记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3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劳动用工备案</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居民和灵活就业人员社会保险费缴纳</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高校毕业生就业服务</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就业报到证调整手续办理</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就业报到证改派手续办理</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职工参保登记（灵活就业人员医疗保险参保登记）</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职工医疗参保登记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7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灵活就业人员医疗保险参保登记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6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住房公积金缴存</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住房公积金个人账户设立</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6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6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个体工商户设立登记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trHeight w:val="52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医疗保险费补缴一件事</w:t>
            </w: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企业职工医疗保险费、生育保险费的申报核定</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职工申请补缴医疗保险费</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城乡居民申请补缴医疗保险费</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社会保险关系转移、接续一件事</w:t>
            </w: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养老保险关系转移接续</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企业养老保险关系转出</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企业养老保险关系转入</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社会保险记录查询打印</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个人参保缴费证明查询打印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参保人员失业保险关系迁移证明打印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个人权益记录查询打印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基本医疗保险关系转移接续</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医疗保险关系转出</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5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医疗保险关系转入</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7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失业一件事</w:t>
            </w: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开展就业失业登记工作</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个体经营或者灵活就业人员失业登记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单位就业转失业人员失业登记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无就业经历人员失业登记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失业保险金申领</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求职登记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代缴基本医疗保险费</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就业困难人员认定</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结婚一件事</w:t>
            </w: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内地居民结婚登记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涉外、涉港澳台居民、华侨结婚登记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居住落户迁移</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7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离婚一件事</w:t>
            </w: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内地居民离婚登记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涉外、涉港澳台居民、华侨离婚登记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居住落户迁移</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76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生育一件事</w:t>
            </w: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免费孕前优生健康检查</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34"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生育登记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再生育审批</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生育保险待遇核准支付</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生育医疗费支付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计划生育医疗费支付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47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生育津贴支付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62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11</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购置新房一件事</w:t>
            </w: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新建商品房交易合同网签备案</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4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不动产登记</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预告登记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9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Style w:val="13"/>
                <w:rFonts w:ascii="Times New Roman" w:hAnsi="Times New Roman"/>
                <w:sz w:val="22"/>
                <w:szCs w:val="22"/>
                <w:lang w:val="en-US" w:eastAsia="zh-CN" w:bidi="ar"/>
              </w:rPr>
              <w:t>房屋等建筑物、构筑物所有权转移登记（企业</w:t>
            </w:r>
            <w:r>
              <w:rPr>
                <w:rStyle w:val="14"/>
                <w:rFonts w:ascii="Times New Roman" w:hAnsi="Times New Roman" w:eastAsia="宋体"/>
                <w:sz w:val="22"/>
                <w:szCs w:val="22"/>
                <w:lang w:val="en-US" w:eastAsia="zh-CN" w:bidi="ar"/>
              </w:rPr>
              <w:t>—</w:t>
            </w:r>
            <w:r>
              <w:rPr>
                <w:rStyle w:val="13"/>
                <w:rFonts w:ascii="Times New Roman" w:hAnsi="Times New Roman"/>
                <w:sz w:val="22"/>
                <w:szCs w:val="22"/>
                <w:lang w:val="en-US" w:eastAsia="zh-CN" w:bidi="ar"/>
              </w:rPr>
              <w:t>个人）</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区自然资源局、区税务局</w:t>
            </w:r>
          </w:p>
        </w:tc>
      </w:tr>
      <w:tr>
        <w:tblPrEx>
          <w:tblCellMar>
            <w:top w:w="0" w:type="dxa"/>
            <w:left w:w="108" w:type="dxa"/>
            <w:bottom w:w="0" w:type="dxa"/>
            <w:right w:w="108" w:type="dxa"/>
          </w:tblCellMar>
        </w:tblPrEx>
        <w:trPr>
          <w:trHeight w:val="4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抵押权登记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增量房(住房)契税申报</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trHeight w:val="5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增量房(非住房)契税申报</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trHeight w:val="70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12</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购置二手房一件事</w:t>
            </w: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二手房交易合同网签备案</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9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不动产登记</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房屋等建筑物、构筑物所有权转移登记（个人—个人）</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区自然资源局、区税务局</w:t>
            </w:r>
          </w:p>
        </w:tc>
      </w:tr>
      <w:tr>
        <w:tblPrEx>
          <w:tblCellMar>
            <w:top w:w="0" w:type="dxa"/>
            <w:left w:w="108" w:type="dxa"/>
            <w:bottom w:w="0" w:type="dxa"/>
            <w:right w:w="108" w:type="dxa"/>
          </w:tblCellMar>
        </w:tblPrEx>
        <w:trPr>
          <w:trHeight w:val="9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抵押权登记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房产交易纳税申报（不动产交易申报征收）</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trHeight w:val="7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供水更名过户</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区水利局</w:t>
            </w:r>
          </w:p>
        </w:tc>
      </w:tr>
      <w:tr>
        <w:tblPrEx>
          <w:tblCellMar>
            <w:top w:w="0" w:type="dxa"/>
            <w:left w:w="108" w:type="dxa"/>
            <w:bottom w:w="0" w:type="dxa"/>
            <w:right w:w="108" w:type="dxa"/>
          </w:tblCellMar>
        </w:tblPrEx>
        <w:trPr>
          <w:trHeight w:val="6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供电更名过户</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国网供电公司博山分公司</w:t>
            </w:r>
          </w:p>
        </w:tc>
      </w:tr>
      <w:tr>
        <w:tblPrEx>
          <w:tblCellMar>
            <w:top w:w="0" w:type="dxa"/>
            <w:left w:w="108" w:type="dxa"/>
            <w:bottom w:w="0" w:type="dxa"/>
            <w:right w:w="108" w:type="dxa"/>
          </w:tblCellMar>
        </w:tblPrEx>
        <w:trPr>
          <w:trHeight w:val="6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燃气更名过户</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6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供暖更名过户</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54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13</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住房公积金提取、贷款一件事</w:t>
            </w: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职工申请提取住房公积金的核准</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购买自住住房提取住房公积金</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偿还购房贷款本息提取住房公积金</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大修自住住房提取住房公积金</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建造、翻建自住住房提取住房公积金</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缴存住房公积金的职工申请住房公积金贷款核准</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购买新建自住住房公积金贷款</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购买再交易自住住房公积金贷款</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10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缴存住房公积金的职工申请住房公积金家庭直系亲属合力贷款核准（购买自住住房公积金家庭直系亲属合力贷款）</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个人住房公积金缴存贷款等信息查询</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14</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车辆上牌一件事</w:t>
            </w: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机动车登记-注册登记</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区交警大队</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车辆购置税</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trHeight w:val="6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核发机动车检验合格标志</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15</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转外就医一件事</w:t>
            </w: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基本医疗保险参保人员异地就医备案</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长期异地工作人员备案</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异地长期居住人员备案</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异地安置退休人员备案</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8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异地急诊转住院联网备案</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转外就医备案</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基本医疗保险参保人员异地就医结算</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16</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享受规定(特殊慢性)病种待遇备案一件事</w:t>
            </w: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医学诊断证明办理</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r>
      <w:tr>
        <w:tblPrEx>
          <w:tblCellMar>
            <w:top w:w="0" w:type="dxa"/>
            <w:left w:w="108" w:type="dxa"/>
            <w:bottom w:w="0" w:type="dxa"/>
            <w:right w:w="108" w:type="dxa"/>
          </w:tblCellMar>
        </w:tblPrEx>
        <w:trPr>
          <w:trHeight w:val="8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基本医疗保险参保人员享受门诊慢特病病种待遇认定</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住院病历复制和查阅</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r>
      <w:tr>
        <w:tblPrEx>
          <w:tblCellMar>
            <w:top w:w="0" w:type="dxa"/>
            <w:left w:w="108" w:type="dxa"/>
            <w:bottom w:w="0" w:type="dxa"/>
            <w:right w:w="108" w:type="dxa"/>
          </w:tblCellMar>
        </w:tblPrEx>
        <w:trPr>
          <w:trHeight w:val="68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17</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扶残助残一件事</w:t>
            </w: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残疾人证新办、换领、迁移、挂失补办、类别（等级）变更、注销</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区残联</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困难残疾人生活补贴</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r>
      <w:tr>
        <w:tblPrEx>
          <w:tblCellMar>
            <w:top w:w="0" w:type="dxa"/>
            <w:left w:w="108" w:type="dxa"/>
            <w:bottom w:w="0" w:type="dxa"/>
            <w:right w:w="108" w:type="dxa"/>
          </w:tblCellMar>
        </w:tblPrEx>
        <w:trPr>
          <w:trHeight w:val="12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山东省残疾儿童康复救助</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山东省视力、听力、言语、肢体、智力等残疾儿童和孤独症儿童康复救助</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山东省听力残疾儿童人工耳蜗康复救助</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山东省肢体残疾儿童矫治手术康复救助</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重度残疾人护理补贴</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r>
      <w:tr>
        <w:tblPrEx>
          <w:tblCellMar>
            <w:top w:w="0" w:type="dxa"/>
            <w:left w:w="108" w:type="dxa"/>
            <w:bottom w:w="0" w:type="dxa"/>
            <w:right w:w="108" w:type="dxa"/>
          </w:tblCellMar>
        </w:tblPrEx>
        <w:trPr>
          <w:trHeight w:val="54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18</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社会救助一件事</w:t>
            </w: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低保特困对象信息查询</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城乡居民最低生活保障金给付（最低生活保障对象认定及保障金给付）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特困人员供养给付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经济困难老年人补贴给付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公共就业专项服务活动</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就业困难人员认定</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灵活就业人员申领社会保险补贴</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个人申领职业培训补贴</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个人申领职业技能鉴定补贴</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临时救助给付（临时救助对象认定及救助金给付）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医疗救助对象认定及救助金给付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行政给付</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58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19</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企业养老保险参保人员退休手续办理一件事</w:t>
            </w: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职工非因工伤残或因病丧失劳动能力程度鉴定</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参保人员因病提前退休领取基本养老保险待遇资格确认</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2126"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参保人员特殊工种提前退休领取基本养老保险待遇资格确认</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养老保险待遇核定支付</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企业养老保险待遇核定支付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参保人员达到法定退休年龄领取基本养老保险待遇资格确认</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职工申请提取住房公积金的核准</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离休、退休提取住房公积金</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52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社会保险登记</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待遇发放账号信息维护</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养老金发放</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20</w:t>
            </w:r>
          </w:p>
        </w:tc>
        <w:tc>
          <w:tcPr>
            <w:tcW w:w="7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身后一件事</w:t>
            </w: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死亡医学证明办理</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r>
      <w:tr>
        <w:tblPrEx>
          <w:tblCellMar>
            <w:top w:w="0" w:type="dxa"/>
            <w:left w:w="108" w:type="dxa"/>
            <w:bottom w:w="0" w:type="dxa"/>
            <w:right w:w="108" w:type="dxa"/>
          </w:tblCellMar>
        </w:tblPrEx>
        <w:trPr>
          <w:trHeight w:val="5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非正常死亡证明</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出具非正常死亡证明</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5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死亡注销户口</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6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火化遗体</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火化证明</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失业人员一次性丧葬补助金及抚恤金申领</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98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养老保险待遇核定支付</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企业职工基本养老保险一次性待遇申领（在职）</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9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企业职工基本养老保险个人账户一次性待遇申领（退休人员死亡）</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企业离退休人员丧葬补助金、抚恤金申领</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居民养老保险注销登记及一次性待遇核定支付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优抚对象丧葬补助费给付（残疾军人）</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区退役军人事务局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终止医保待遇享受并注销医保参保关系</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9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不动产登记</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房屋等建筑物、构筑物所有权转移登记-继承或受遗赠</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区自然资源局、区税务局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工伤保险待遇核定支付</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工亡待遇核定支付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工伤保险定期待遇暂停或终止</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主动服务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3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职工申请提取住房公积金的核准</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死亡或被宣告死亡提取住房公积金</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5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医疗保险个人账户一次性支付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6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养老保险待遇终止拨付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76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企业离退休人员供养直系亲属生活困难补助核定支付</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54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52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社保卡注销</w:t>
            </w:r>
          </w:p>
        </w:tc>
        <w:tc>
          <w:tcPr>
            <w:tcW w:w="1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bl>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仿宋_GB2312"/>
          <w:sz w:val="22"/>
          <w:szCs w:val="22"/>
          <w:u w:val="none"/>
          <w:lang w:val="en-US" w:eastAsia="zh-CN"/>
        </w:rPr>
      </w:pPr>
    </w:p>
    <w:tbl>
      <w:tblPr>
        <w:tblStyle w:val="6"/>
        <w:tblW w:w="10214" w:type="dxa"/>
        <w:tblInd w:w="93" w:type="dxa"/>
        <w:shd w:val="clear" w:color="auto" w:fill="auto"/>
        <w:tblLayout w:type="fixed"/>
        <w:tblCellMar>
          <w:top w:w="0" w:type="dxa"/>
          <w:left w:w="108" w:type="dxa"/>
          <w:bottom w:w="0" w:type="dxa"/>
          <w:right w:w="108" w:type="dxa"/>
        </w:tblCellMar>
      </w:tblPr>
      <w:tblGrid>
        <w:gridCol w:w="564"/>
        <w:gridCol w:w="712"/>
        <w:gridCol w:w="2288"/>
        <w:gridCol w:w="2490"/>
        <w:gridCol w:w="1175"/>
        <w:gridCol w:w="944"/>
        <w:gridCol w:w="2041"/>
      </w:tblGrid>
      <w:tr>
        <w:tblPrEx>
          <w:shd w:val="clear" w:color="auto" w:fill="auto"/>
          <w:tblCellMar>
            <w:top w:w="0" w:type="dxa"/>
            <w:left w:w="108" w:type="dxa"/>
            <w:bottom w:w="0" w:type="dxa"/>
            <w:right w:w="108" w:type="dxa"/>
          </w:tblCellMar>
        </w:tblPrEx>
        <w:trPr>
          <w:trHeight w:val="740" w:hRule="atLeast"/>
        </w:trPr>
        <w:tc>
          <w:tcPr>
            <w:tcW w:w="10214"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32"/>
                <w:szCs w:val="32"/>
                <w:u w:val="none"/>
                <w:lang w:val="en-US" w:eastAsia="zh-CN" w:bidi="ar"/>
              </w:rPr>
              <w:t>附件4</w:t>
            </w:r>
          </w:p>
        </w:tc>
      </w:tr>
      <w:tr>
        <w:tblPrEx>
          <w:tblCellMar>
            <w:top w:w="0" w:type="dxa"/>
            <w:left w:w="108" w:type="dxa"/>
            <w:bottom w:w="0" w:type="dxa"/>
            <w:right w:w="108" w:type="dxa"/>
          </w:tblCellMar>
        </w:tblPrEx>
        <w:trPr>
          <w:trHeight w:val="620" w:hRule="atLeast"/>
        </w:trPr>
        <w:tc>
          <w:tcPr>
            <w:tcW w:w="10214"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方正小标宋简体" w:cs="方正小标宋简体"/>
                <w:i w:val="0"/>
                <w:iCs w:val="0"/>
                <w:color w:val="000000"/>
                <w:sz w:val="22"/>
                <w:szCs w:val="22"/>
                <w:u w:val="none"/>
                <w:lang w:val="en-US"/>
              </w:rPr>
            </w:pPr>
            <w:r>
              <w:rPr>
                <w:rFonts w:hint="eastAsia" w:ascii="Times New Roman" w:hAnsi="Times New Roman" w:eastAsia="方正小标宋简体" w:cs="方正小标宋简体"/>
                <w:i w:val="0"/>
                <w:iCs w:val="0"/>
                <w:color w:val="000000"/>
                <w:kern w:val="0"/>
                <w:sz w:val="44"/>
                <w:szCs w:val="44"/>
                <w:u w:val="none"/>
                <w:lang w:val="en-US" w:eastAsia="zh-CN" w:bidi="ar"/>
              </w:rPr>
              <w:t>企业全生命周期“一件事”事项清单</w:t>
            </w:r>
            <w:r>
              <w:rPr>
                <w:rFonts w:hint="eastAsia" w:eastAsia="方正小标宋简体" w:cs="方正小标宋简体"/>
                <w:i w:val="0"/>
                <w:iCs w:val="0"/>
                <w:color w:val="000000"/>
                <w:kern w:val="0"/>
                <w:sz w:val="44"/>
                <w:szCs w:val="44"/>
                <w:u w:val="none"/>
                <w:lang w:val="en-US" w:eastAsia="zh-CN" w:bidi="ar"/>
              </w:rPr>
              <w:t>及责任分工</w:t>
            </w:r>
          </w:p>
        </w:tc>
      </w:tr>
      <w:tr>
        <w:tblPrEx>
          <w:tblCellMar>
            <w:top w:w="0" w:type="dxa"/>
            <w:left w:w="108" w:type="dxa"/>
            <w:bottom w:w="0" w:type="dxa"/>
            <w:right w:w="108" w:type="dxa"/>
          </w:tblCellMar>
        </w:tblPrEx>
        <w:trPr>
          <w:trHeight w:val="720" w:hRule="atLeast"/>
        </w:trPr>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序号</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一件事</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事项名称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事项类型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牵头部门</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黑体" w:cs="黑体"/>
                <w:i w:val="0"/>
                <w:iCs w:val="0"/>
                <w:color w:val="000000"/>
                <w:sz w:val="22"/>
                <w:szCs w:val="22"/>
                <w:u w:val="none"/>
              </w:rPr>
            </w:pPr>
            <w:r>
              <w:rPr>
                <w:rFonts w:hint="eastAsia" w:ascii="Times New Roman" w:hAnsi="Times New Roman" w:eastAsia="黑体" w:cs="黑体"/>
                <w:i w:val="0"/>
                <w:iCs w:val="0"/>
                <w:color w:val="000000"/>
                <w:kern w:val="0"/>
                <w:sz w:val="22"/>
                <w:szCs w:val="22"/>
                <w:u w:val="none"/>
                <w:lang w:val="en-US" w:eastAsia="zh-CN" w:bidi="ar"/>
              </w:rPr>
              <w:t>协同部门</w:t>
            </w:r>
          </w:p>
        </w:tc>
      </w:tr>
      <w:tr>
        <w:tblPrEx>
          <w:tblCellMar>
            <w:top w:w="0" w:type="dxa"/>
            <w:left w:w="108" w:type="dxa"/>
            <w:bottom w:w="0" w:type="dxa"/>
            <w:right w:w="108" w:type="dxa"/>
          </w:tblCellMar>
        </w:tblPrEx>
        <w:trPr>
          <w:trHeight w:val="405"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我要开办企业</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公司（企业）设立登记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公司设立登记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非公司企业法人设立登记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外商投资企业设立登记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497"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分公司设立登记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营业单位、非法人分支机构设立登记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外商投资企业分支机构设立登记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公章刻制备案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435"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涉税办理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45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区医保局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预约银行开户</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r>
      <w:tr>
        <w:tblPrEx>
          <w:tblCellMar>
            <w:top w:w="0" w:type="dxa"/>
            <w:left w:w="108" w:type="dxa"/>
            <w:bottom w:w="0" w:type="dxa"/>
            <w:right w:w="108" w:type="dxa"/>
          </w:tblCellMar>
        </w:tblPrEx>
        <w:trPr>
          <w:trHeight w:val="413"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我要开食品生产厂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建设项目环境影响评价审批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其他建设工程消防验收备案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389"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粮食收购资格认定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排污许可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我要开药店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药品经营许可（零售）</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第三类医疗器械经营许可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医疗器械网络销售备案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我要开超市（商场）</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烟草专卖零售许可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区烟草专卖局</w:t>
            </w:r>
          </w:p>
        </w:tc>
      </w:tr>
      <w:tr>
        <w:tblPrEx>
          <w:tblCellMar>
            <w:top w:w="0" w:type="dxa"/>
            <w:left w:w="108" w:type="dxa"/>
            <w:bottom w:w="0" w:type="dxa"/>
            <w:right w:w="108" w:type="dxa"/>
          </w:tblCellMar>
        </w:tblPrEx>
        <w:trPr>
          <w:trHeight w:val="435"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建设工程消防设计审查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特殊建设工程消防验收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其他建设工程消防验收备案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45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451"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我要开便利店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5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烟草专卖零售许可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区烟草专卖局</w:t>
            </w:r>
          </w:p>
        </w:tc>
      </w:tr>
      <w:tr>
        <w:tblPrEx>
          <w:tblCellMar>
            <w:top w:w="0" w:type="dxa"/>
            <w:left w:w="108" w:type="dxa"/>
            <w:bottom w:w="0" w:type="dxa"/>
            <w:right w:w="108" w:type="dxa"/>
          </w:tblCellMar>
        </w:tblPrEx>
        <w:trPr>
          <w:trHeight w:val="45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97"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9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我要开书店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我要开粮油店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我要开农药店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农药经营许可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农作物种子生产经营许可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我要开兽药店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兽药经营许可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我要开医疗器械经营门店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第三类医疗器械经营许可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医疗器械网络销售备案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5"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我要开酒店（宾馆）</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旅馆业特种行业许可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482"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497"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我要开特种设备生产厂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特种设备生产许可（公用管道、工业管道设计）</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21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生产许可（锅炉制造&lt;含安装、修理、改造&gt;、压力容器制造&lt;含安装、修理、改造&gt;，安全阀或紧急切断阀制造、压力管道元件制造、电梯制造&lt;含安装、修理、改造&gt;、起重机械制造&lt;含安装、修理、改造&gt;、非公路用旅游观光车辆制造&lt;含安装、修理、改造&gt;）</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1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生产许可（锅炉安装&lt;含修理、改造&gt;、公用或工业管道安装、电梯安装&lt;含修理&gt;、起重机械安装&lt;含修理&gt;、客运索道安装&lt;含修理&gt;、大型游乐设施安装&lt;含修理&gt;、场内专用机动车辆修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我要开饭店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我要开咖啡馆</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8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我要开酒吧</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建设工程消防设计审查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特殊建设工程消防验收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其他建设工程消防验收备案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8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82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我要开人力资源服务机构</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经营性人力资源服务机构从事职业中介活动许可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劳务派遣经营许可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我要开理发店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我要开美容院</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医疗机构设置审批及执业登记和校验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我要开洗浴中心</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8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我要开营利性民办职业培训机构</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民办职业技能培训机构审批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8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我要开诊所</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医疗机构设置审批及执业登记和校验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放射源诊疗技术和医用辐射机构许可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我要开面包店（烘焙店）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我要开母婴用品店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我要开游泳馆</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经营高危险性体育项目许可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我要开民办培训服务机构</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实施学历教育、自学考试助学及其他文化教育的民办学校设立审批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我要开民办幼儿园</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实施学前教育的民办学校设立审批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13"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我要开电影院</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电影放映单位设立审批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35"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389"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45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38"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我要开面粉加工厂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粮食收购资格认定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92"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29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食品包装材料厂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工业产品生产许可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包装装潢印刷品和其他印刷品印刷企业设立</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我要开饮用水厂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我要开肉制品加工厂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我要开康养中心</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设置养老机构备案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区民政局</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养老机构设置诊疗场所备案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区卫生健康局</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医疗机构设置审批及执业登记和校验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放射源诊疗技术和医用辐射机构许可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我要开休闲农庄（农家乐）</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经营高危险性体育项目许可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我要开建筑公司</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建筑业企业资质许可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特种设备生产（包括设计、制造、安装、改造、修理）许可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建筑施工企业安全生产许可证核发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我要开检验检测机构</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检验检测机构资质认定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特种设备检验检测机构核准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计量标准器具核准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14"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计量授权</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我要开眼镜店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第三类医疗器械经营许可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399"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94"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84"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562"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医疗器械网络销售备案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45"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我要开民办营利医院</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医疗机构设置审批及执业登记和校验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45"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23"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放射源诊疗技术和医用辐射机构许可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76"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医疗保健机构从事母婴保健技术服务许可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61"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我要开网吧</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互联网上网服务营业场所经营单位从事互联网上网服务经营活动许可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互联网上网服务营业场所信息网络安全审核</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39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我要开游艺厅</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游艺娱乐场所从事游艺娱乐场所经营活动审批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我要开歌舞娱乐厅</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歌舞娱乐场所从事歌舞娱乐场所经营活动审批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我要开汽车加气站</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燃气经营许可证核发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燃气供应许可证核发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气瓶充装许可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移动式压力容器充装许可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成品油零售经营许可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区商务局</w:t>
            </w: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我要开汽车加油站</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成品油零售经营许可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区商务局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危险化学品经营许可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区应急管理局</w:t>
            </w:r>
          </w:p>
        </w:tc>
      </w:tr>
      <w:tr>
        <w:tblPrEx>
          <w:tblCellMar>
            <w:top w:w="0" w:type="dxa"/>
            <w:left w:w="108" w:type="dxa"/>
            <w:bottom w:w="0" w:type="dxa"/>
            <w:right w:w="108" w:type="dxa"/>
          </w:tblCellMar>
        </w:tblPrEx>
        <w:trPr>
          <w:trHeight w:val="693"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trHeight w:val="708"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我要开酿酒厂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01"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粮食收购资格认定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09"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08"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我要开调味品生产厂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32"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粮食收购资格认定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我要开饮料生产厂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我要开食用油生产厂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粮食收购资格认定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96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我要开危险化学品包装容器制造厂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特种设备生产（包括设计、制造、安装、改造、修理）许可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6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危险化学品包装容器生产许可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我要开驾校</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普通机动车驾驶员培训经营许可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机动车驾驶员培训教练场经营许可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49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我要开艺术品商店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包装装潢印刷品和其他印刷品印刷企业设立</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106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典当行、拍卖公司、文化市场、旧货市场、艺术品市场等单位或者场所经营尚未被认定为文物的监管物品的许可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区文化和旅游局</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文物商店设立许可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我要开养殖厂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动物防疫条件许可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92"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种畜禽生产经营许可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生鲜乳收购许可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我要开肥料生产厂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工业产品生产许可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我要开宠物店（医院）</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动物诊疗许可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兽药经营许可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我要开包装装潢印刷品厂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包装装潢印刷品和其他印刷品印刷企业设立</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我要开水泥生产厂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工业产品生产许可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我要开月子中心</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医疗机构设置审批及执业登记和校验</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我要开货运公司</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道路危险货物运输经营许可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危险货物运输经营以外的道路货物运输经营许可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我要开饲料生产厂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饲料和饲料添加剂生产许可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区农业农村局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粮食收购资格认定</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trHeight w:val="476"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我要开文具店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53"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61"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59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我要开足疗店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我要开民宿</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旅馆业特种行业许可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文艺表演团体、个体演员举办营业性演出审批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我要开生猪屠宰厂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动物防疫条件许可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生猪屠宰许可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排污许可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我要开汽车修理与维护厂</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机动车维修经营备案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区交通运输局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区交通运输局</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排污许可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tblCellMar>
            <w:top w:w="0" w:type="dxa"/>
            <w:left w:w="108" w:type="dxa"/>
            <w:bottom w:w="0" w:type="dxa"/>
            <w:right w:w="108" w:type="dxa"/>
          </w:tblCellMar>
        </w:tblPrEx>
        <w:trPr>
          <w:trHeight w:val="739"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建设项目环境影响评价审批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r>
      <w:tr>
        <w:tblPrEx>
          <w:tblCellMar>
            <w:top w:w="0" w:type="dxa"/>
            <w:left w:w="108" w:type="dxa"/>
            <w:bottom w:w="0" w:type="dxa"/>
            <w:right w:w="108" w:type="dxa"/>
          </w:tblCellMar>
        </w:tblPrEx>
        <w:trPr>
          <w:trHeight w:val="739"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我要开滑雪场</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24"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经营高危险性体育项目许可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特种设备使用登记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693"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我要开燃气供应公司</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燃气经营许可证核发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特种设备使用登记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充装许可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我要开出租车客运公司</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网络预约出租汽车经营许可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巡游出租汽车客运经营许可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网络预约出租汽车道路运输证配发、换发、补发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巡游出租汽车道路运输证配发、换发、补发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我要开旅行社</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旅行社设立许可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旅行社设立分社备案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我要开奶牛场</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动物防疫条件许可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生鲜乳收购许可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生鲜乳准运许可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我要开托儿所</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69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我要开住宅装饰和装修公司</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建筑业企业资质许可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工程监理企业资质许可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建筑施工企业安全生产许可证核发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我要开文物商店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文物商店设立许可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我要开保健品零售店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我要开茶叶零售店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我要开体育用品及器材零售店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我要开陶琉体验馆</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我要开棋牌室</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我要开歌剧院</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23"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文艺表演团体申请从事营业性演出活动许可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08"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763"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Style w:val="15"/>
                <w:rFonts w:ascii="Times New Roman" w:hAnsi="Times New Roman"/>
                <w:sz w:val="22"/>
                <w:szCs w:val="22"/>
                <w:lang w:val="en-US" w:eastAsia="zh-CN" w:bidi="ar"/>
              </w:rPr>
              <w:t>演出场所经营单位备案</w:t>
            </w:r>
            <w:r>
              <w:rPr>
                <w:rStyle w:val="16"/>
                <w:rFonts w:ascii="Times New Roman" w:hAnsi="Times New Roman"/>
                <w:sz w:val="22"/>
                <w:szCs w:val="22"/>
                <w:lang w:val="en-US" w:eastAsia="zh-CN" w:bidi="ar"/>
              </w:rPr>
              <w:t xml:space="preserve"> </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区文化和旅游局</w:t>
            </w:r>
          </w:p>
        </w:tc>
      </w:tr>
      <w:tr>
        <w:tblPrEx>
          <w:tblCellMar>
            <w:top w:w="0" w:type="dxa"/>
            <w:left w:w="108" w:type="dxa"/>
            <w:bottom w:w="0" w:type="dxa"/>
            <w:right w:w="108" w:type="dxa"/>
          </w:tblCellMar>
        </w:tblPrEx>
        <w:trPr>
          <w:trHeight w:val="724"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我要开儿童绘本馆</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出版物零售单位设立、变更审批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我要开攀岩馆</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经营高危险性体育项目许可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79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我要开种畜禽场</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种畜禽生产经营许可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动物防疫条件许可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我要开游乐园</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游艺娱乐场所从事游艺娱乐场所经营活动审批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经营高危险性体育项目许可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公众聚集场所投入使用、营业前消防安全检查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区消防救援大队</w:t>
            </w: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我要开家政中心</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公共场所卫生许可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我要开洗化用品店</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食品经营许可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第二类医疗器械经营备案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61"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我要办理建设施工许可</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建筑工程施工许可证核发</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办理工程质量监督手续</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 xml:space="preserve">办理施工安全监督手续 </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46"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建设工程消防设计审查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76"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结合民用建筑修建防空地下室审批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人防工程质量监督注册登记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84</w:t>
            </w:r>
          </w:p>
        </w:tc>
        <w:tc>
          <w:tcPr>
            <w:tcW w:w="71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我要办理核准项目立项</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企业投资项目核准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建设工程抗震设防要求确定</w:t>
            </w:r>
          </w:p>
        </w:tc>
        <w:tc>
          <w:tcPr>
            <w:tcW w:w="11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我要办理市政设施建设许可</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工程建设涉及城市绿地、树木审批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市政设施建设类审批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因工程建设需要拆除、改动、迁移供水、排水与污水处理设施审核</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改变绿化规划、绿化用地的使用性质审批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城镇污水排入排水管网许可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我要办理户外广告许可</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城市大型户外广告设置审核</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在城市建筑物、设施上张挂、张贴宣传品审批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87</w:t>
            </w:r>
          </w:p>
        </w:tc>
        <w:tc>
          <w:tcPr>
            <w:tcW w:w="712"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我要办理环卫服务许可</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城市建筑垃圾处置核准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在街道两侧和公共场所临时堆放物料、搭建非永久性建筑物、构筑物或其他设施审核</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88</w:t>
            </w:r>
          </w:p>
        </w:tc>
        <w:tc>
          <w:tcPr>
            <w:tcW w:w="712"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我要办理水利审批</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生产建设项目水土保持方案审批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水利基建项目初步设计文件审批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取水许可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洪水影响评价（类）审批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89</w:t>
            </w:r>
          </w:p>
        </w:tc>
        <w:tc>
          <w:tcPr>
            <w:tcW w:w="712"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我要办理大型演艺活动许可</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文艺表演团体、个体演员举办营业性演出审批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举办大型群众性活动安全许可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区公安分局</w:t>
            </w: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在街道两侧和公共场所临时堆放物料、搭建非永久性建筑物、构筑物或其他设施审核</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利用不可移动文物举办展览、展销、演出等活动的许可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区文化和旅游局</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我要办理排放污染物许可</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建设项目环境影响评价审批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区生态环境分局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在江河、湖泊新建、改建、扩建排污口的审批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91</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我要办理竣工验收</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建设工程竣工规划核实</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区规划管理办公室</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特殊建设工程消防验收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其他建设工程消防验收备案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人防工程竣工验收备案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房屋建筑工程和市政基础设施工程竣工验收备案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建设工程档案验收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92</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我要办理纳税服务</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纳税人资格信息报告（一般纳税人登记等事项）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纳税人制度信息报告（存款账户账号报告等事项）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发票管理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纳税申报（各项税费）</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税收优惠</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出口退（免）税</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6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93</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我要招用高校毕业生</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工程建设项目办理工伤保险参保登记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开展就业失业登记工作（单位就业登记）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劳动用工备案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我要招用流动人员</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工程建设项目办理工伤保险参保登记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57"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开展就业失业登记工作（单位就业登记）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59"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劳动用工备案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38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流动人员人事管理服务</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流动人员人事档案接收</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流动人才党员组织关系转入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6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94</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我要申领失业保险金</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失业登记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失业保险金申领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6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95</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我要办理离退休人员死亡待遇支付</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养老保险待遇终止拨付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2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企业职工基本养老保险个人账户一次性待遇申领（退休人员死亡）</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6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企业离退休人员丧葬补助金、抚恤金申领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744"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企业离退休人员供养直系亲属生活困难补助核定支付</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96</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我要办理不动产登记</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不动产登记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建设用地使用权登记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区自然资源局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房屋等建筑物、构筑物所有权登记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9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抵押权登记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行政确认</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45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97</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我要办理市政报装</w:t>
            </w: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供水报装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区水利局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供电报装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国网供电公司博山分公司</w:t>
            </w:r>
          </w:p>
        </w:tc>
      </w:tr>
      <w:tr>
        <w:tblPrEx>
          <w:tblCellMar>
            <w:top w:w="0" w:type="dxa"/>
            <w:left w:w="108" w:type="dxa"/>
            <w:bottom w:w="0" w:type="dxa"/>
            <w:right w:w="108" w:type="dxa"/>
          </w:tblCellMar>
        </w:tblPrEx>
        <w:trPr>
          <w:trHeight w:val="352"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燃气报装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区住房和城乡建设局</w:t>
            </w:r>
          </w:p>
        </w:tc>
      </w:tr>
      <w:tr>
        <w:tblPrEx>
          <w:tblCellMar>
            <w:top w:w="0" w:type="dxa"/>
            <w:left w:w="108" w:type="dxa"/>
            <w:bottom w:w="0" w:type="dxa"/>
            <w:right w:w="108" w:type="dxa"/>
          </w:tblCellMar>
        </w:tblPrEx>
        <w:trPr>
          <w:trHeight w:val="399"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热力报装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38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通信报装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中国联通淄博市博山分公司、中国移动通信淄博市博山分公司、中国电信淄博博山分公司</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排水报装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374"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98</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我要办理企业变更</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公司（企业）变更登记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451"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营业单位、企业非法人分支机构变更登记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社会保险单位（项目）基本信息变更</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医疗保险单位变更登记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住房公积金单位缴存登记信息变更</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99</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我要办理一般注销</w:t>
            </w:r>
          </w:p>
        </w:tc>
        <w:tc>
          <w:tcPr>
            <w:tcW w:w="2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公司有关事项备案</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公司清算组备案</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其他行政权力</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公司（企业）注销登记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52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营业单位、企业非法人分支机构注销登记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459"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税务注销（清税申报）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52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区医保局</w:t>
            </w:r>
          </w:p>
        </w:tc>
      </w:tr>
      <w:tr>
        <w:tblPrEx>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住房公积金单位缴存登记注销</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预约银行销户</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r>
      <w:tr>
        <w:tblPrEx>
          <w:tblCellMar>
            <w:top w:w="0" w:type="dxa"/>
            <w:left w:w="108" w:type="dxa"/>
            <w:bottom w:w="0" w:type="dxa"/>
            <w:right w:w="108" w:type="dxa"/>
          </w:tblCellMar>
        </w:tblPrEx>
        <w:trPr>
          <w:trHeight w:val="600" w:hRule="atLeast"/>
        </w:trPr>
        <w:tc>
          <w:tcPr>
            <w:tcW w:w="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100</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我要办理简易注销</w:t>
            </w:r>
          </w:p>
        </w:tc>
        <w:tc>
          <w:tcPr>
            <w:tcW w:w="22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公司（企业）注销登记</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公司（企业）注销登记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区行政审批服务局</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非公司企业法人注销登记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分公司注销登记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营业单位、企业非法人分支机构注销登记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2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宋体" w:cs="宋体"/>
                <w:i w:val="0"/>
                <w:iCs w:val="0"/>
                <w:color w:val="000000"/>
                <w:sz w:val="22"/>
                <w:szCs w:val="22"/>
                <w:u w:val="none"/>
              </w:rPr>
            </w:pP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外商投资企业分支机构注销登记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行政许可</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区市场监督管理局</w:t>
            </w:r>
          </w:p>
        </w:tc>
      </w:tr>
      <w:tr>
        <w:tblPrEx>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税务注销（清税申报）</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其他行政</w:t>
            </w:r>
            <w:r>
              <w:rPr>
                <w:rFonts w:hint="eastAsia" w:ascii="Times New Roman" w:hAnsi="Times New Roman" w:eastAsia="宋体" w:cs="宋体"/>
                <w:i w:val="0"/>
                <w:iCs w:val="0"/>
                <w:color w:val="000000"/>
                <w:kern w:val="0"/>
                <w:sz w:val="22"/>
                <w:szCs w:val="22"/>
                <w:u w:val="none"/>
                <w:lang w:val="en-US" w:eastAsia="zh-CN" w:bidi="ar"/>
              </w:rPr>
              <w:br w:type="textWrapping"/>
            </w:r>
            <w:r>
              <w:rPr>
                <w:rFonts w:hint="eastAsia" w:ascii="Times New Roman" w:hAnsi="Times New Roman" w:eastAsia="宋体" w:cs="宋体"/>
                <w:i w:val="0"/>
                <w:iCs w:val="0"/>
                <w:color w:val="000000"/>
                <w:kern w:val="0"/>
                <w:sz w:val="22"/>
                <w:szCs w:val="22"/>
                <w:u w:val="none"/>
                <w:lang w:val="en-US" w:eastAsia="zh-CN" w:bidi="ar"/>
              </w:rPr>
              <w:t>权力</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区税务局</w:t>
            </w:r>
          </w:p>
        </w:tc>
      </w:tr>
      <w:tr>
        <w:tblPrEx>
          <w:tblCellMar>
            <w:top w:w="0" w:type="dxa"/>
            <w:left w:w="108" w:type="dxa"/>
            <w:bottom w:w="0" w:type="dxa"/>
            <w:right w:w="108" w:type="dxa"/>
          </w:tblCellMar>
        </w:tblPrEx>
        <w:trPr>
          <w:trHeight w:val="54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企业社会保险注销登记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区人力资源和社会保障局</w:t>
            </w:r>
          </w:p>
        </w:tc>
      </w:tr>
      <w:tr>
        <w:tblPrEx>
          <w:tblCellMar>
            <w:top w:w="0" w:type="dxa"/>
            <w:left w:w="108" w:type="dxa"/>
            <w:bottom w:w="0" w:type="dxa"/>
            <w:right w:w="108" w:type="dxa"/>
          </w:tblCellMar>
        </w:tblPrEx>
        <w:trPr>
          <w:trHeight w:val="52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医疗保险单位注销登记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区医疗保障分局</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住房公积金单位缴存登记注销</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公共服务</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市住房公积金管理中心博山分中心</w:t>
            </w:r>
          </w:p>
        </w:tc>
      </w:tr>
      <w:tr>
        <w:tblPrEx>
          <w:tblCellMar>
            <w:top w:w="0" w:type="dxa"/>
            <w:left w:w="108" w:type="dxa"/>
            <w:bottom w:w="0" w:type="dxa"/>
            <w:right w:w="108" w:type="dxa"/>
          </w:tblCellMar>
        </w:tblPrEx>
        <w:trPr>
          <w:trHeight w:val="600" w:hRule="atLeast"/>
        </w:trPr>
        <w:tc>
          <w:tcPr>
            <w:tcW w:w="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预约银行销户</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ascii="Times New Roman" w:hAnsi="Times New Roman" w:eastAsia="宋体" w:cs="宋体"/>
                <w:i w:val="0"/>
                <w:iCs w:val="0"/>
                <w:color w:val="000000"/>
                <w:kern w:val="0"/>
                <w:sz w:val="22"/>
                <w:szCs w:val="22"/>
                <w:u w:val="none"/>
                <w:lang w:val="en-US" w:eastAsia="zh-CN" w:bidi="ar"/>
              </w:rPr>
              <w:t>其他</w:t>
            </w: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2"/>
                <w:szCs w:val="22"/>
                <w:u w:val="none"/>
              </w:rPr>
            </w:pP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人民银行博山区支行</w:t>
            </w:r>
          </w:p>
        </w:tc>
      </w:tr>
    </w:tbl>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tbl>
      <w:tblPr>
        <w:tblStyle w:val="6"/>
        <w:tblpPr w:leftFromText="181" w:rightFromText="181" w:horzAnchor="margin" w:tblpXSpec="center" w:tblpYSpec="bottom"/>
        <w:tblW w:w="9920" w:type="dxa"/>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20"/>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9920" w:type="dxa"/>
            <w:vAlign w:val="center"/>
          </w:tcPr>
          <w:p>
            <w:pPr>
              <w:jc w:val="center"/>
              <w:rPr>
                <w:rFonts w:hint="eastAsia"/>
                <w:bdr w:val="single" w:color="auto" w:sz="8" w:space="0"/>
              </w:rPr>
            </w:pPr>
            <w:r>
              <w:rPr>
                <w:rFonts w:hint="eastAsia" w:ascii="仿宋_GB2312" w:eastAsia="仿宋_GB2312"/>
                <w:sz w:val="28"/>
                <w:szCs w:val="28"/>
              </w:rPr>
              <w:t xml:space="preserve">博山区人民政府办公室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2021年 </w:t>
            </w:r>
            <w:r>
              <w:rPr>
                <w:rFonts w:hint="eastAsia" w:ascii="仿宋_GB2312" w:eastAsia="仿宋_GB2312"/>
                <w:sz w:val="28"/>
                <w:szCs w:val="28"/>
                <w:lang w:val="en-US" w:eastAsia="zh-CN"/>
              </w:rPr>
              <w:t>7</w:t>
            </w:r>
            <w:r>
              <w:rPr>
                <w:rFonts w:hint="eastAsia" w:ascii="仿宋_GB2312" w:eastAsia="仿宋_GB2312"/>
                <w:sz w:val="28"/>
                <w:szCs w:val="28"/>
              </w:rPr>
              <w:t xml:space="preserve"> 月</w:t>
            </w:r>
            <w:r>
              <w:rPr>
                <w:rFonts w:hint="eastAsia" w:ascii="仿宋_GB2312" w:eastAsia="仿宋_GB2312"/>
                <w:sz w:val="28"/>
                <w:szCs w:val="28"/>
                <w:lang w:val="en-US" w:eastAsia="zh-CN"/>
              </w:rPr>
              <w:t xml:space="preserve"> 26 </w:t>
            </w:r>
            <w:r>
              <w:rPr>
                <w:rFonts w:hint="eastAsia" w:ascii="仿宋_GB2312" w:eastAsia="仿宋_GB2312"/>
                <w:sz w:val="28"/>
                <w:szCs w:val="28"/>
              </w:rPr>
              <w:t>日印发</w:t>
            </w:r>
          </w:p>
        </w:tc>
      </w:tr>
    </w:tbl>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line="576" w:lineRule="exact"/>
        <w:textAlignment w:val="auto"/>
        <w:rPr>
          <w:rFonts w:hint="eastAsia" w:ascii="仿宋_GB2312" w:hAnsi="仿宋_GB2312" w:eastAsia="仿宋_GB2312" w:cs="Times New Roman"/>
          <w:sz w:val="32"/>
          <w:szCs w:val="32"/>
          <w:lang w:eastAsia="zh-CN"/>
        </w:rPr>
      </w:pPr>
    </w:p>
    <w:p>
      <w:pPr>
        <w:spacing w:line="20" w:lineRule="exact"/>
        <w:jc w:val="both"/>
        <w:rPr>
          <w:rFonts w:hint="default" w:ascii="仿宋_GB2312" w:hAnsi="仿宋_GB2312" w:eastAsia="仿宋_GB2312" w:cs="仿宋_GB2312"/>
          <w:sz w:val="32"/>
          <w:szCs w:val="32"/>
          <w:u w:val="none"/>
          <w:lang w:val="en-US" w:eastAsia="zh-CN"/>
        </w:rPr>
      </w:pP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eastAsia="zh-CN"/>
        </w:rPr>
        <w:t xml:space="preserve"> </w:t>
      </w:r>
    </w:p>
    <w:sectPr>
      <w:pgSz w:w="11906" w:h="16838"/>
      <w:pgMar w:top="2098" w:right="1020" w:bottom="1984" w:left="1020" w:header="851" w:footer="141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F07EE3"/>
    <w:rsid w:val="07EE39BC"/>
    <w:rsid w:val="11937841"/>
    <w:rsid w:val="134F644C"/>
    <w:rsid w:val="194D16D8"/>
    <w:rsid w:val="19AB2857"/>
    <w:rsid w:val="20EB3D2D"/>
    <w:rsid w:val="28BD7512"/>
    <w:rsid w:val="299A1BBC"/>
    <w:rsid w:val="31392B9E"/>
    <w:rsid w:val="31623ECF"/>
    <w:rsid w:val="3F47037C"/>
    <w:rsid w:val="51651E44"/>
    <w:rsid w:val="54064AE6"/>
    <w:rsid w:val="54BA5B08"/>
    <w:rsid w:val="57632BFC"/>
    <w:rsid w:val="59AA45AE"/>
    <w:rsid w:val="5A01018A"/>
    <w:rsid w:val="5BA4310A"/>
    <w:rsid w:val="638B733E"/>
    <w:rsid w:val="659257B6"/>
    <w:rsid w:val="676B3C92"/>
    <w:rsid w:val="6AA70AF7"/>
    <w:rsid w:val="6F0A443D"/>
    <w:rsid w:val="71351412"/>
    <w:rsid w:val="79532A0A"/>
    <w:rsid w:val="7DAA5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rFonts w:ascii="Calibri" w:hAnsi="Calibri" w:eastAsia="宋体" w:cs="Times New Roman"/>
      <w:kern w:val="0"/>
      <w:sz w:val="24"/>
      <w:lang w:val="en-US" w:eastAsia="zh-CN" w:bidi="ar"/>
    </w:rPr>
  </w:style>
  <w:style w:type="character" w:styleId="8">
    <w:name w:val="Strong"/>
    <w:basedOn w:val="7"/>
    <w:qFormat/>
    <w:uiPriority w:val="0"/>
    <w:rPr>
      <w:rFonts w:ascii="Calibri" w:hAnsi="Calibri" w:eastAsia="宋体" w:cs="Times New Roman"/>
      <w:b/>
    </w:rPr>
  </w:style>
  <w:style w:type="paragraph" w:customStyle="1" w:styleId="9">
    <w:name w:val="Normal"/>
    <w:qFormat/>
    <w:uiPriority w:val="0"/>
    <w:pPr>
      <w:jc w:val="both"/>
    </w:pPr>
    <w:rPr>
      <w:rFonts w:ascii="Times New Roman" w:hAnsi="Times New Roman" w:eastAsia="宋体" w:cs="Times New Roman"/>
      <w:kern w:val="2"/>
      <w:sz w:val="21"/>
      <w:szCs w:val="21"/>
      <w:lang w:val="en-US" w:eastAsia="zh-CN" w:bidi="ar-SA"/>
    </w:rPr>
  </w:style>
  <w:style w:type="character" w:customStyle="1" w:styleId="10">
    <w:name w:val="font21"/>
    <w:basedOn w:val="7"/>
    <w:qFormat/>
    <w:uiPriority w:val="0"/>
    <w:rPr>
      <w:rFonts w:hint="default" w:ascii="Times New Roman" w:hAnsi="Times New Roman" w:cs="Times New Roman"/>
      <w:color w:val="000000"/>
      <w:sz w:val="20"/>
      <w:szCs w:val="20"/>
      <w:u w:val="none"/>
    </w:rPr>
  </w:style>
  <w:style w:type="character" w:customStyle="1" w:styleId="11">
    <w:name w:val="font71"/>
    <w:basedOn w:val="7"/>
    <w:uiPriority w:val="0"/>
    <w:rPr>
      <w:rFonts w:hint="eastAsia" w:ascii="黑体" w:hAnsi="宋体" w:eastAsia="黑体" w:cs="黑体"/>
      <w:color w:val="000000"/>
      <w:sz w:val="20"/>
      <w:szCs w:val="20"/>
      <w:u w:val="none"/>
    </w:rPr>
  </w:style>
  <w:style w:type="character" w:customStyle="1" w:styleId="12">
    <w:name w:val="font41"/>
    <w:basedOn w:val="7"/>
    <w:qFormat/>
    <w:uiPriority w:val="0"/>
    <w:rPr>
      <w:rFonts w:hint="eastAsia" w:ascii="宋体" w:hAnsi="宋体" w:eastAsia="宋体" w:cs="宋体"/>
      <w:color w:val="000000"/>
      <w:sz w:val="20"/>
      <w:szCs w:val="20"/>
      <w:u w:val="none"/>
    </w:rPr>
  </w:style>
  <w:style w:type="character" w:customStyle="1" w:styleId="13">
    <w:name w:val="font81"/>
    <w:basedOn w:val="7"/>
    <w:qFormat/>
    <w:uiPriority w:val="0"/>
    <w:rPr>
      <w:rFonts w:hint="eastAsia" w:ascii="宋体" w:hAnsi="宋体" w:eastAsia="宋体" w:cs="宋体"/>
      <w:color w:val="000000"/>
      <w:sz w:val="22"/>
      <w:szCs w:val="22"/>
      <w:u w:val="none"/>
    </w:rPr>
  </w:style>
  <w:style w:type="character" w:customStyle="1" w:styleId="14">
    <w:name w:val="font121"/>
    <w:basedOn w:val="7"/>
    <w:qFormat/>
    <w:uiPriority w:val="0"/>
    <w:rPr>
      <w:rFonts w:hint="default" w:ascii="Times New Roman" w:hAnsi="Times New Roman" w:cs="Times New Roman"/>
      <w:color w:val="000000"/>
      <w:sz w:val="22"/>
      <w:szCs w:val="22"/>
      <w:u w:val="none"/>
    </w:rPr>
  </w:style>
  <w:style w:type="character" w:customStyle="1" w:styleId="15">
    <w:name w:val="font11"/>
    <w:basedOn w:val="7"/>
    <w:qFormat/>
    <w:uiPriority w:val="0"/>
    <w:rPr>
      <w:rFonts w:hint="eastAsia" w:ascii="宋体" w:hAnsi="宋体" w:eastAsia="宋体" w:cs="宋体"/>
      <w:color w:val="000000"/>
      <w:sz w:val="22"/>
      <w:szCs w:val="22"/>
      <w:u w:val="none"/>
    </w:rPr>
  </w:style>
  <w:style w:type="character" w:customStyle="1" w:styleId="16">
    <w:name w:val="font01"/>
    <w:basedOn w:val="7"/>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2021-07-15T05:58:00Z</dcterms:created>
  <dc:creator>Lenovo</dc:creator>
  <cp:lastModifiedBy>一只来自秋霉山的胡萝卜</cp:lastModifiedBy>
  <cp:lastPrinted>2021-07-26T01:18:40Z</cp:lastPrinted>
  <dcterms:modified xsi:type="dcterms:W3CDTF">2021-07-26T02:23:51Z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9621B26A2A0E4DCD9ED304F263DC20FB</vt:lpwstr>
  </property>
</Properties>
</file>