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76" w:lineRule="exact"/>
        <w:ind w:right="0" w:rightChars="0"/>
        <w:textAlignment w:val="auto"/>
        <w:rPr>
          <w:rFonts w:hint="eastAsia" w:eastAsia="方正小标宋简体"/>
          <w:bCs/>
          <w:color w:val="000000"/>
          <w:sz w:val="44"/>
          <w:szCs w:val="44"/>
        </w:rPr>
      </w:pPr>
      <w:r>
        <w:rPr>
          <w:rFonts w:hint="eastAsia" w:ascii="黑体" w:hAnsi="黑体" w:eastAsia="黑体" w:cs="黑体"/>
          <w:bCs/>
          <w:color w:val="000000"/>
          <w:sz w:val="32"/>
          <w:szCs w:val="32"/>
        </w:rPr>
        <w:t>附件2</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jc w:val="center"/>
        <w:textAlignment w:val="auto"/>
        <w:rPr>
          <w:rFonts w:eastAsia="方正小标宋简体"/>
          <w:bCs/>
          <w:color w:val="000000"/>
          <w:sz w:val="44"/>
          <w:szCs w:val="44"/>
        </w:rPr>
      </w:pPr>
      <w:bookmarkStart w:id="0" w:name="_GoBack"/>
      <w:r>
        <w:rPr>
          <w:rFonts w:eastAsia="方正小标宋简体"/>
          <w:bCs/>
          <w:color w:val="000000"/>
          <w:sz w:val="44"/>
          <w:szCs w:val="44"/>
        </w:rPr>
        <w:t>农村危房改造最低建设要求</w:t>
      </w:r>
      <w:bookmarkEnd w:id="0"/>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jc w:val="center"/>
        <w:textAlignment w:val="auto"/>
        <w:rPr>
          <w:rFonts w:hint="eastAsia" w:eastAsia="方正小标宋简体"/>
          <w:b/>
          <w:color w:val="000000"/>
          <w:sz w:val="36"/>
          <w:szCs w:val="36"/>
        </w:rPr>
      </w:pP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1.为提高农村危房改造的质量水平，规范工程建设与验收，制定本最低建设要求。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2.凡列入政府补助范围的农村危房改造项目的建设与验收应执行本最低建设要求。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3.农村危房改造住房（以下简称危改房）除应符合本最低建设要求外，应符合国家和当地有关法律、法规、政策及标准的规定。</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4.危改房建筑应符合以下要求：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（1）寝居、食寝和洁污等功能分区，设置独用卧室、独用厨房和独用厕所。</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（2）1人户建筑面积不小于20平方米，2人户建筑面积不小于30平方米，3人户建筑面积不小于40平方米，3人以上户建筑面积不小于人均13平方米、不超过18平方米。户均不超过60平方米。</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（3）室内净高不小于2.40米，局部净高不小于2.10米且其面积不超过房屋总面积的1/3。</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5.危改房选址应选择安全地段。对于可能发生滑坡、崩塌、地陷、地裂、泥石流、洪水、山洪等灾害的地段应采取技术措施处理。</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6.危改房地基为软弱土、可液化土、湿陷性黄土、膨胀土、冻胀土、新近填土或严重不均匀土层时，应做地基处理，达到地基设计承载力要求。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7.危改房基础应根据房屋荷载情况、相关规范规定的房屋降沉要求等选择</w:t>
      </w:r>
      <w:r>
        <w:rPr>
          <w:rFonts w:hint="eastAsia" w:ascii="仿宋_GB2312" w:hAnsi="仿宋_GB2312" w:eastAsia="仿宋_GB2312" w:cs="仿宋_GB2312"/>
          <w:bCs/>
          <w:sz w:val="32"/>
          <w:szCs w:val="32"/>
        </w:rPr>
        <w:t>毛石基础、混凝土基础、砖放脚基础、灰土基础等</w:t>
      </w:r>
      <w:r>
        <w:rPr>
          <w:rFonts w:hint="eastAsia" w:ascii="仿宋_GB2312" w:hAnsi="仿宋_GB2312" w:eastAsia="仿宋_GB2312" w:cs="仿宋_GB2312"/>
          <w:bCs/>
          <w:color w:val="000000"/>
          <w:sz w:val="32"/>
          <w:szCs w:val="32"/>
        </w:rPr>
        <w:t>基础形式，砂浆强度不应小于M7.5，砼基础强度不应小于C25并达到基础设计承载力要求。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8.危改房主体结构应根据相关标准和规范确定的当地抗震设防烈度，按照《农村危房改造抗震安全基本要求（试行）》（建村</w:t>
      </w:r>
      <w:r>
        <w:rPr>
          <w:rFonts w:hint="eastAsia" w:ascii="仿宋_GB2312" w:hAnsi="仿宋_GB2312" w:eastAsia="仿宋_GB2312" w:cs="仿宋_GB2312"/>
          <w:bCs/>
          <w:color w:val="212121"/>
          <w:kern w:val="0"/>
          <w:sz w:val="32"/>
          <w:szCs w:val="32"/>
        </w:rPr>
        <w:t>〔</w:t>
      </w:r>
      <w:r>
        <w:rPr>
          <w:rFonts w:hint="eastAsia" w:ascii="仿宋_GB2312" w:hAnsi="仿宋_GB2312" w:eastAsia="仿宋_GB2312" w:cs="仿宋_GB2312"/>
          <w:bCs/>
          <w:color w:val="000000"/>
          <w:sz w:val="32"/>
          <w:szCs w:val="32"/>
        </w:rPr>
        <w:t>2011</w:t>
      </w:r>
      <w:r>
        <w:rPr>
          <w:rFonts w:hint="eastAsia" w:ascii="仿宋_GB2312" w:hAnsi="仿宋_GB2312" w:eastAsia="仿宋_GB2312" w:cs="仿宋_GB2312"/>
          <w:bCs/>
          <w:color w:val="212121"/>
          <w:kern w:val="0"/>
          <w:sz w:val="32"/>
          <w:szCs w:val="32"/>
        </w:rPr>
        <w:t>〕</w:t>
      </w:r>
      <w:r>
        <w:rPr>
          <w:rFonts w:hint="eastAsia" w:ascii="仿宋_GB2312" w:hAnsi="仿宋_GB2312" w:eastAsia="仿宋_GB2312" w:cs="仿宋_GB2312"/>
          <w:bCs/>
          <w:color w:val="000000"/>
          <w:sz w:val="32"/>
          <w:szCs w:val="32"/>
        </w:rPr>
        <w:t>115号）采取抗震措施。砖混结构房屋的抗震构造措施应符合以下最低要求：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圈梁及构造柱相关要求。应在楼（层）盖位置沿墙体均设置钢筋砼圈梁，圈梁宽度同墙厚，楼（层）盖位置圈梁截面高度不小于200mm，纵向钢筋不小于4Φ12，箍筋不小于Φ6@250；基础上部位置圈梁截面高度不小于240mm，纵向钢筋不小于6Φ12，箍筋不小于Φ6@200；房屋四角均应设置构造柱，截面尺寸同墙厚，纵向钢筋不小于4Φ12，箍筋不小于Φ6@100/250。砼强度不小于C20，钢筋强度不小于HRB400。</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（2）房屋四角及纵横墙交接处，应沿墙高每隔不大于750mm设2Φ6拉结钢筋，且每边伸入墙内不宜小于750mm。</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（3）楼（屋）盖设有跨度超过6.0m的现浇钢筋混凝土大梁时，大梁下宜设置构造柱；未设构造柱时，大梁应与墙体圈梁可靠连接或在梁下设置混凝土梁垫。</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9.危改房墙体应符合以下要求：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（1）墙体砌筑应采用煤矸石实心砖或烧结煤矸石多孔砖，砖基础应采用煤矸石实心砖或毛石等符合第七条相应要求，砂浆强度砖基础不应小于M7.5，墙体不应小于M5.0。</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（2）布置完备，在平面、竖向与门窗洞口形成围合空间。</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（3）符合相关规范规定的安全性要求，无竖向歪斜。</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（4）表面平整，有防水防潮处理措施，外墙勒脚做防水处理高度不低于0.6米。当采用灰浆抹面时，抹面层干净整洁，没有明显龟裂、空鼓、剥落现象。当外墙采用清水砖墙时，进行勾缝处理。</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10.危改房门窗应符合以下要求：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（1）根据使用需要合理设置门窗，玻璃、窗扇、门板等构件完备，耐久性符合要求。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（2）门窗洞口顶部应按照相关规范要求设置过梁，门窗整体达到正常使用及遭遇暴雪、大风、暴雨时的安全性要求。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（3）安装到位，门窗框、扇无变形，开启灵活，关闭严密。门窗框与洞口边缘连接紧密、抹灰平整，窗台表面处理平整。</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11.危改房设置梁、柱时，应符合以下要求：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（1）达到设计、施工规范及设计承载力要求。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（2）表面平整，截面尺寸准确，梁的挠度变形及柱的垂直度符合相关规定。主要受力和连接部位无露筋、蜂窝、空洞、夹渣、疏松、明显裂缝、孔洞、腐蚀、虫蛀等现象。</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12.危改房楼板应符合以下要求：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（1）两层或两层以上时，设置完整楼板，拼缝紧密。</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（2）达到相关设计、施工规范及设计承载力要求。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（2）表面平整，无明显的竖向挠度变形、裂缝。当采用现浇混凝土楼板时，主要受力和连接部位不得有露筋、蜂窝、空洞、夹渣、疏松等现象。</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13.危改房楼梯应符合以下要求：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（1）两层或两层以上时，设置楼梯。</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（2）设置楼梯时，楼梯板、栏杆、扶手等构件应完备，达到相关设计、施工规范要求。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14.危改房设置阳台、露台时，梁、柱、板、墙体等构件应符合本最低建设要求的相关要求，并根据相关规范要求设置防护栏杆。</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15.危改房屋面应符合以下要求：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（1）围护构件完备，耐久性符合要求。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（2）屋面结构安全可靠，屋面整体达到正常使用及遭遇地震、暴雪、大风、暴雨时的安全性要求，无漏雨、渗水现象。</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（3）采用坡屋面时，瓦片铺设整齐、匀称，粘贴牢固，搭接严密，檐口平直。当屋顶存在掉落灰土、烟尘等隐患时，应采取隔层措施，隔层结构安全、构件完备和平整洁净。</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（4）采用平屋面时，屋面找坡符合相关规范要求，找坡面层平整，无积水、明显裂缝等现象。</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16.危改房室内地面应硬化，硬化层密实、平整。</w:t>
      </w:r>
    </w:p>
    <w:p>
      <w:pPr>
        <w:keepNext w:val="0"/>
        <w:keepLines w:val="0"/>
        <w:pageBreakBefore w:val="0"/>
        <w:widowControl w:val="0"/>
        <w:kinsoku/>
        <w:wordWrap/>
        <w:overflowPunct/>
        <w:topLinePunct w:val="0"/>
        <w:autoSpaceDE/>
        <w:autoSpaceDN/>
        <w:bidi w:val="0"/>
        <w:spacing w:line="576" w:lineRule="exact"/>
        <w:ind w:right="0" w:rightChars="0" w:firstLine="633" w:firstLineChars="198"/>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17.危改房室内环境应符合以下要求：</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sz w:val="32"/>
          <w:szCs w:val="32"/>
        </w:rPr>
        <w:t>（1）朝向良好，</w:t>
      </w:r>
      <w:r>
        <w:rPr>
          <w:rFonts w:hint="eastAsia" w:ascii="仿宋_GB2312" w:hAnsi="仿宋_GB2312" w:eastAsia="仿宋_GB2312" w:cs="仿宋_GB2312"/>
          <w:bCs/>
          <w:color w:val="000000"/>
          <w:sz w:val="32"/>
          <w:szCs w:val="32"/>
        </w:rPr>
        <w:t>至少有一个房间能获得日照。</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（2）卧室、起居室、厨房直接自然采光。</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（3）卧室、起居室、厨房、厕所直接自然通风。</w:t>
      </w:r>
    </w:p>
    <w:p>
      <w:pPr>
        <w:keepNext w:val="0"/>
        <w:keepLines w:val="0"/>
        <w:pageBreakBefore w:val="0"/>
        <w:widowControl w:val="0"/>
        <w:kinsoku/>
        <w:wordWrap/>
        <w:overflowPunct/>
        <w:topLinePunct w:val="0"/>
        <w:autoSpaceDE/>
        <w:autoSpaceDN/>
        <w:bidi w:val="0"/>
        <w:spacing w:line="576" w:lineRule="exact"/>
        <w:ind w:right="0" w:rightChars="0" w:firstLine="633" w:firstLineChars="198"/>
        <w:textAlignment w:val="auto"/>
        <w:rPr>
          <w:rFonts w:hint="eastAsia" w:ascii="仿宋_GB2312" w:hAnsi="仿宋_GB2312" w:eastAsia="仿宋_GB2312" w:cs="仿宋_GB2312"/>
          <w:bCs/>
          <w:color w:val="000000"/>
          <w:sz w:val="32"/>
          <w:szCs w:val="32"/>
        </w:rPr>
        <w:sectPr>
          <w:footerReference r:id="rId3" w:type="default"/>
          <w:footerReference r:id="rId4" w:type="even"/>
          <w:pgSz w:w="11906" w:h="16838"/>
          <w:pgMar w:top="2098" w:right="1474" w:bottom="1984" w:left="1587" w:header="851" w:footer="992" w:gutter="0"/>
          <w:pgNumType w:fmt="decimal"/>
          <w:cols w:space="0" w:num="1"/>
          <w:rtlGutter w:val="0"/>
          <w:docGrid w:type="lines" w:linePitch="312" w:charSpace="0"/>
        </w:sectPr>
      </w:pPr>
      <w:r>
        <w:rPr>
          <w:rFonts w:hint="eastAsia" w:ascii="仿宋_GB2312" w:hAnsi="仿宋_GB2312" w:eastAsia="仿宋_GB2312" w:cs="仿宋_GB2312"/>
          <w:bCs/>
          <w:color w:val="000000"/>
          <w:sz w:val="32"/>
          <w:szCs w:val="32"/>
        </w:rPr>
        <w:t>18.危改房宜按相关标准、规范和要求设置室内给水排水、照明、采暖以及防雷等设备</w:t>
      </w:r>
      <w:r>
        <w:rPr>
          <w:rFonts w:hint="eastAsia" w:ascii="仿宋_GB2312" w:hAnsi="仿宋_GB2312" w:eastAsia="仿宋_GB2312" w:cs="仿宋_GB2312"/>
          <w:bCs/>
          <w:sz w:val="32"/>
          <w:szCs w:val="32"/>
        </w:rPr>
        <w:t xml:space="preserve">设施。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ind w:left="210" w:leftChars="100" w:right="210" w:rightChars="100"/>
      <w:jc w:val="right"/>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wordWrap w:val="0"/>
                            <w:ind w:left="210" w:leftChars="100" w:right="210" w:rightChars="10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3"/>
                      <w:wordWrap w:val="0"/>
                      <w:ind w:left="210" w:leftChars="100" w:right="210" w:rightChars="10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210" w:leftChars="100" w:right="210" w:rightChars="100"/>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BA126E"/>
    <w:rsid w:val="2FBA1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市委办</Company>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2019-05-20T08:18:00Z</dcterms:created>
  <dc:creator>博山FGJ</dc:creator>
  <cp:lastModifiedBy>博山FGJ</cp:lastModifiedBy>
  <dcterms:modified xsi:type="dcterms:W3CDTF">2019-05-20T08:21:47Z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