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both"/>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center"/>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center"/>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center"/>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center"/>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center"/>
        <w:textAlignment w:val="auto"/>
        <w:rPr>
          <w:rFonts w:hint="eastAsia" w:ascii="仿宋_GB2312" w:hAnsi="仿宋_GB2312" w:eastAsia="仿宋_GB2312" w:cs="仿宋_GB2312"/>
          <w:sz w:val="32"/>
          <w:szCs w:val="32"/>
          <w:lang w:val="en-US" w:eastAsia="zh-CN"/>
        </w:rPr>
      </w:pPr>
    </w:p>
    <w:p>
      <w:pPr>
        <w:rPr>
          <w:rFonts w:hint="eastAsia"/>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博政发</w:t>
      </w:r>
      <w:r>
        <w:rPr>
          <w:rFonts w:hint="eastAsia" w:ascii="仿宋_GB2312" w:hAnsi="仿宋_GB2312" w:eastAsia="仿宋_GB2312" w:cs="仿宋_GB2312"/>
          <w:spacing w:val="0"/>
          <w:w w:val="105"/>
          <w:position w:val="0"/>
          <w:sz w:val="32"/>
          <w:szCs w:val="32"/>
          <w:lang w:val="en-US" w:eastAsia="zh-CN"/>
        </w:rPr>
        <w:t>〔2021〕1号</w:t>
      </w:r>
    </w:p>
    <w:p>
      <w:pPr>
        <w:keepNext w:val="0"/>
        <w:keepLines w:val="0"/>
        <w:pageBreakBefore w:val="0"/>
        <w:kinsoku/>
        <w:wordWrap/>
        <w:overflowPunct/>
        <w:topLinePunct w:val="0"/>
        <w:bidi w:val="0"/>
        <w:adjustRightInd/>
        <w:snapToGrid/>
        <w:spacing w:beforeAutospacing="0" w:afterAutospacing="0" w:line="576" w:lineRule="exact"/>
        <w:ind w:left="0" w:leftChars="0"/>
        <w:textAlignment w:val="auto"/>
        <w:rPr>
          <w:rFonts w:hint="default"/>
          <w:sz w:val="32"/>
          <w:szCs w:val="32"/>
          <w:lang w:val="en-US" w:eastAsia="zh-CN"/>
        </w:rPr>
      </w:pPr>
    </w:p>
    <w:p>
      <w:pPr>
        <w:pStyle w:val="2"/>
        <w:keepNext w:val="0"/>
        <w:keepLines w:val="0"/>
        <w:pageBreakBefore w:val="0"/>
        <w:kinsoku/>
        <w:wordWrap/>
        <w:overflowPunct/>
        <w:topLinePunct w:val="0"/>
        <w:bidi w:val="0"/>
        <w:adjustRightInd/>
        <w:snapToGrid/>
        <w:spacing w:beforeAutospacing="0" w:afterAutospacing="0" w:line="576" w:lineRule="exact"/>
        <w:ind w:left="0" w:leftChars="0"/>
        <w:textAlignment w:val="auto"/>
        <w:rPr>
          <w:rFonts w:hint="default"/>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博山区人民政府</w:t>
      </w:r>
    </w:p>
    <w:p>
      <w:pPr>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关于调整一批行政权力事项的通知</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76" w:lineRule="exact"/>
        <w:ind w:left="0" w:leftChars="0" w:right="0" w:firstLine="0" w:firstLineChars="0"/>
        <w:jc w:val="both"/>
        <w:textAlignment w:val="auto"/>
        <w:rPr>
          <w:rFonts w:hint="eastAsia" w:ascii="仿宋_GB2312" w:hAnsi="仿宋_GB2312" w:eastAsia="仿宋_GB2312" w:cs="仿宋_GB2312"/>
          <w:spacing w:val="0"/>
          <w:w w:val="105"/>
          <w:position w:val="0"/>
          <w:sz w:val="32"/>
          <w:szCs w:val="32"/>
          <w:lang w:val="en-US" w:eastAsia="zh-CN"/>
        </w:rPr>
      </w:pP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0" w:firstLineChars="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各镇人民政府、街道办事处，开发区管委会，区政府有关部门，有关单位：</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640" w:firstLineChars="20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为贯彻落实《国务院关于取消和下放一批行政许可事项的决定》（国发〔2020〕13号）、《山东省人民政府关于调整一批行政权力事项的通知》（鲁政发〔2021〕1号）和《淄博市人民政府关于调整一批行政权力事项的通知》（淄政发〔2021〕6号）要求，全面减权放权授权、打造精简高效政务生态，结合我区实际，区政府决定调整一批行政权力事项。其中，取消20项、承接1项。 </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640" w:firstLineChars="200"/>
        <w:jc w:val="both"/>
        <w:textAlignment w:val="auto"/>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各有关部门（单位）要抓紧做好调整行政权力事项的贯彻落实工作，进一步细化改革配套措施，加强和创新事中事后监管，确保放得下、接得住、管得好。有关部门（单位）要在文件印发之日起20个工作日内，根据上级业务主管部门制定的事中事后监管细则，对涉及的行政许可事项和其他依申请行政权力事项逐项制定符合自身实际的事中事后监管细则。对于国家和省、市明文取消的事项一律不再实施，也不得通过其他方式变相设置环节关卡。对承接实施的事项，有关部门（单位）要加强与上级业务主管部门的对接沟通，及时完善行政审批事项业务手册和办事指南，不断增强承接能力。同时，要根据省市人民政府有关部门采取的措施，积极优化审批服务、再造工作流程，提高办理质量和效率。有关部门（单位）要按照鲁政发〔2021〕1号和淄政发〔2021〕6号文件要求，及时制定衔接、承接工作方案，切实做好落实工作。省市人民政府规定的其他权利事项的调整，按照相关规定执行。</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640" w:firstLineChars="20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各有关部门（单位）要将贯彻落实情况于3月16日前报区政府办公室（联系电话：4110093）。</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0" w:firstLineChars="0"/>
        <w:jc w:val="both"/>
        <w:textAlignment w:val="auto"/>
        <w:rPr>
          <w:rFonts w:hint="eastAsia" w:ascii="仿宋_GB2312" w:hAnsi="Times New Roman" w:eastAsia="仿宋_GB2312" w:cs="Times New Roman"/>
          <w:kern w:val="2"/>
          <w:sz w:val="32"/>
          <w:szCs w:val="32"/>
          <w:lang w:val="en-US" w:eastAsia="zh-CN" w:bidi="ar-SA"/>
        </w:rPr>
      </w:pP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638" w:leftChars="290" w:right="0" w:firstLine="0" w:firstLineChars="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附件：1.衔接国务院、省政府文件调整的行政权力事项表</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1600" w:firstLineChars="50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2.承接省市下放或委托实施的行政权力事项表</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0" w:firstLineChars="0"/>
        <w:jc w:val="both"/>
        <w:textAlignment w:val="auto"/>
        <w:rPr>
          <w:rFonts w:hint="eastAsia" w:ascii="仿宋_GB2312" w:hAnsi="Times New Roman" w:eastAsia="仿宋_GB2312" w:cs="Times New Roman"/>
          <w:kern w:val="2"/>
          <w:sz w:val="32"/>
          <w:szCs w:val="32"/>
          <w:lang w:val="en-US" w:eastAsia="zh-CN" w:bidi="ar-SA"/>
        </w:rPr>
      </w:pP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0" w:firstLineChars="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0" w:firstLineChars="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博山区人民政府</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5760" w:firstLineChars="1800"/>
        <w:jc w:val="both"/>
        <w:textAlignment w:val="auto"/>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2021年3月5日</w:t>
      </w:r>
    </w:p>
    <w:p>
      <w:pPr>
        <w:pStyle w:val="2"/>
        <w:keepNext w:val="0"/>
        <w:keepLines w:val="0"/>
        <w:pageBreakBefore w:val="0"/>
        <w:widowControl w:val="0"/>
        <w:kinsoku/>
        <w:wordWrap/>
        <w:overflowPunct/>
        <w:topLinePunct w:val="0"/>
        <w:autoSpaceDE w:val="0"/>
        <w:autoSpaceDN w:val="0"/>
        <w:bidi w:val="0"/>
        <w:adjustRightInd/>
        <w:snapToGrid/>
        <w:spacing w:before="0" w:beforeAutospacing="0" w:afterAutospacing="0" w:line="540" w:lineRule="exact"/>
        <w:ind w:left="0" w:leftChars="0" w:right="0" w:firstLine="640" w:firstLineChars="200"/>
        <w:jc w:val="both"/>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（此件公开发布）</w:t>
      </w:r>
    </w:p>
    <w:p>
      <w:pPr>
        <w:keepNext w:val="0"/>
        <w:keepLines w:val="0"/>
        <w:pageBreakBefore w:val="0"/>
        <w:widowControl w:val="0"/>
        <w:tabs>
          <w:tab w:val="left" w:pos="2241"/>
        </w:tabs>
        <w:kinsoku/>
        <w:wordWrap/>
        <w:overflowPunct/>
        <w:topLinePunct w:val="0"/>
        <w:autoSpaceDE w:val="0"/>
        <w:autoSpaceDN w:val="0"/>
        <w:bidi w:val="0"/>
        <w:adjustRightInd/>
        <w:snapToGrid/>
        <w:spacing w:beforeAutospacing="0" w:afterAutospacing="0" w:line="540" w:lineRule="exact"/>
        <w:ind w:left="0" w:leftChars="0"/>
        <w:jc w:val="left"/>
        <w:textAlignment w:val="auto"/>
        <w:rPr>
          <w:rFonts w:hint="eastAsia"/>
          <w:lang w:val="en-US" w:eastAsia="zh-CN"/>
        </w:rPr>
        <w:sectPr>
          <w:footerReference r:id="rId3" w:type="default"/>
          <w:footerReference r:id="rId4" w:type="even"/>
          <w:pgSz w:w="11906" w:h="16838"/>
          <w:pgMar w:top="2098" w:right="1474" w:bottom="1984" w:left="1587" w:header="851" w:footer="992" w:gutter="0"/>
          <w:pgNumType w:fmt="decimal" w:start="1"/>
          <w:cols w:space="425" w:num="1"/>
          <w:docGrid w:type="lines" w:linePitch="312" w:charSpace="0"/>
        </w:sectPr>
      </w:pPr>
    </w:p>
    <w:p>
      <w:pPr>
        <w:pStyle w:val="14"/>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0" w:firstLineChars="0"/>
        <w:textAlignment w:val="auto"/>
        <w:rPr>
          <w:rFonts w:hint="eastAsia" w:ascii="黑体" w:hAnsi="黑体" w:eastAsia="黑体" w:cs="黑体"/>
          <w:color w:val="auto"/>
          <w:sz w:val="32"/>
          <w:szCs w:val="32"/>
          <w:lang w:val="en-US" w:eastAsia="zh-CN"/>
        </w:rPr>
      </w:pPr>
    </w:p>
    <w:p>
      <w:pPr>
        <w:pStyle w:val="14"/>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vertAlign w:val="baseline"/>
          <w:lang w:val="en-US" w:eastAsia="zh-CN"/>
        </w:rPr>
      </w:pPr>
      <w:r>
        <w:rPr>
          <w:rFonts w:hint="eastAsia" w:ascii="方正小标宋简体" w:hAnsi="方正小标宋简体" w:eastAsia="方正小标宋简体" w:cs="方正小标宋简体"/>
          <w:color w:val="auto"/>
          <w:sz w:val="36"/>
          <w:szCs w:val="36"/>
          <w:vertAlign w:val="baseline"/>
          <w:lang w:val="en-US" w:eastAsia="zh-CN"/>
        </w:rPr>
        <w:t>衔接国务院、省政府文件调整的行政权力事项表</w:t>
      </w:r>
    </w:p>
    <w:tbl>
      <w:tblPr>
        <w:tblStyle w:val="9"/>
        <w:tblW w:w="14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080"/>
        <w:gridCol w:w="2184"/>
        <w:gridCol w:w="703"/>
        <w:gridCol w:w="2955"/>
        <w:gridCol w:w="6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108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原实施部门</w:t>
            </w:r>
          </w:p>
        </w:tc>
        <w:tc>
          <w:tcPr>
            <w:tcW w:w="218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事项名称及权限</w:t>
            </w:r>
          </w:p>
        </w:tc>
        <w:tc>
          <w:tcPr>
            <w:tcW w:w="703"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事项类型</w:t>
            </w:r>
          </w:p>
        </w:tc>
        <w:tc>
          <w:tcPr>
            <w:tcW w:w="295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调整意见</w:t>
            </w:r>
          </w:p>
        </w:tc>
        <w:tc>
          <w:tcPr>
            <w:tcW w:w="67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加强事中事后监管措施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08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区公安分局</w:t>
            </w:r>
          </w:p>
        </w:tc>
        <w:tc>
          <w:tcPr>
            <w:tcW w:w="218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典当业特种行业许可证核发</w:t>
            </w:r>
          </w:p>
        </w:tc>
        <w:tc>
          <w:tcPr>
            <w:tcW w:w="703"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行政许可</w:t>
            </w:r>
          </w:p>
        </w:tc>
        <w:tc>
          <w:tcPr>
            <w:tcW w:w="295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取消县级公安部门实施的行政许可事项“典当业特种行业许可证核发”，改由省级地方金融监管部门实施。</w:t>
            </w:r>
          </w:p>
        </w:tc>
        <w:tc>
          <w:tcPr>
            <w:tcW w:w="67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取消许可后，公安机关和地方金融监管部门要通过以下措施加强监管：</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地方金融监管部门应当将办理“设立典当行及分支机构审批”（含设立、变更、注销）的相关信息，在作出审批决定后5个工作日内推送至公安机关，公安机关据此将典当行及分支机构纳入监管范围，依法实施监管。</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2.通过“双随机、一公开”监管等方式，加强对典当行的治安管理，及时化解风险隐患，发现违法犯罪活动要依法查处。</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3.公安机关积极采取信息化手段强化事中事后监管，从业单位应实时、实情录入典当物品详细信息。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default"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lang w:val="en-US" w:eastAsia="zh-CN"/>
              </w:rPr>
              <w:t>区行政审批服务局</w:t>
            </w:r>
          </w:p>
        </w:tc>
        <w:tc>
          <w:tcPr>
            <w:tcW w:w="218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sz w:val="21"/>
                <w:szCs w:val="21"/>
                <w:lang w:val="en-US" w:eastAsia="zh-CN"/>
              </w:rPr>
              <w:t>乡村兽医登记</w:t>
            </w:r>
          </w:p>
        </w:tc>
        <w:tc>
          <w:tcPr>
            <w:tcW w:w="703"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lang w:val="en-US" w:eastAsia="zh-CN"/>
              </w:rPr>
              <w:t>行政许可</w:t>
            </w:r>
          </w:p>
        </w:tc>
        <w:tc>
          <w:tcPr>
            <w:tcW w:w="295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lang w:val="en-US" w:eastAsia="zh-CN"/>
              </w:rPr>
              <w:t>取消区行政审批服务部门实施的行政许可事项“乡村兽医登记”，改为备案</w:t>
            </w:r>
            <w:r>
              <w:rPr>
                <w:rFonts w:hint="eastAsia" w:ascii="宋体" w:hAnsi="宋体" w:eastAsia="宋体" w:cs="宋体"/>
                <w:color w:val="auto"/>
                <w:sz w:val="21"/>
                <w:szCs w:val="21"/>
                <w:lang w:val="en-US" w:eastAsia="zh-CN"/>
              </w:rPr>
              <w:t>。</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取消许可，改为备案后，区行政审批服务部门</w:t>
            </w:r>
            <w:r>
              <w:rPr>
                <w:rFonts w:hint="eastAsia" w:cs="宋体"/>
                <w:color w:val="auto"/>
                <w:kern w:val="0"/>
                <w:sz w:val="21"/>
                <w:szCs w:val="21"/>
                <w:lang w:val="en-US" w:eastAsia="zh-CN"/>
              </w:rPr>
              <w:t>要</w:t>
            </w:r>
            <w:r>
              <w:rPr>
                <w:rFonts w:hint="eastAsia" w:ascii="宋体" w:hAnsi="宋体" w:eastAsia="宋体" w:cs="宋体"/>
                <w:color w:val="auto"/>
                <w:kern w:val="0"/>
                <w:sz w:val="21"/>
                <w:szCs w:val="21"/>
                <w:lang w:val="en-US" w:eastAsia="zh-CN"/>
              </w:rPr>
              <w:t>建立健全乡村兽医服务人员备案制度，依法实施备案，并与畜牧兽医主管部门做好事中事后监管的衔接、沟通、协调等工作，畜牧兽医主管部门要通过以下措施加强监管：</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1.向社会公开备案情况，方便查询、就医，并发挥社会监督作用。对不按要求备案的要依法设定并追究法律责任。</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2.开展“双随机、一公开”监管，畅通投诉举报渠道，发现违法违规行为要依法查处并向社会公开结果。</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lang w:val="en-US" w:eastAsia="zh-CN"/>
              </w:rPr>
              <w:t>3.依法实施信用监管，如实记录违法失信行为，实施差异化监管等措施。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12"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eastAsia="仿宋_GB2312"/>
                <w:lang w:val="en-US" w:eastAsia="zh-CN"/>
              </w:rPr>
            </w:pPr>
            <w:r>
              <w:rPr>
                <w:rFonts w:hint="eastAsia" w:ascii="宋体" w:hAnsi="宋体" w:eastAsia="宋体" w:cs="宋体"/>
                <w:color w:val="auto"/>
                <w:sz w:val="21"/>
                <w:szCs w:val="21"/>
                <w:vertAlign w:val="baseline"/>
                <w:lang w:val="en-US" w:eastAsia="zh-CN"/>
              </w:rPr>
              <w:t>序号</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vertAlign w:val="baseline"/>
                <w:lang w:val="en-US" w:eastAsia="zh-CN"/>
              </w:rPr>
              <w:t>原实施部门</w:t>
            </w:r>
          </w:p>
        </w:tc>
        <w:tc>
          <w:tcPr>
            <w:tcW w:w="218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vertAlign w:val="baseline"/>
                <w:lang w:val="en-US" w:eastAsia="zh-CN"/>
              </w:rPr>
              <w:t>事项名称及权限</w:t>
            </w:r>
          </w:p>
        </w:tc>
        <w:tc>
          <w:tcPr>
            <w:tcW w:w="703"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vertAlign w:val="baseline"/>
                <w:lang w:val="en-US" w:eastAsia="zh-CN"/>
              </w:rPr>
              <w:t>事项类型</w:t>
            </w:r>
          </w:p>
        </w:tc>
        <w:tc>
          <w:tcPr>
            <w:tcW w:w="295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left"/>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vertAlign w:val="baseline"/>
                <w:lang w:val="en-US" w:eastAsia="zh-CN"/>
              </w:rPr>
              <w:t>调整意见</w:t>
            </w:r>
          </w:p>
        </w:tc>
        <w:tc>
          <w:tcPr>
            <w:tcW w:w="6794"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vertAlign w:val="baseline"/>
                <w:lang w:val="en-US" w:eastAsia="zh-CN"/>
              </w:rPr>
              <w:t>加强事中事后监管措施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ascii="宋体" w:hAnsi="宋体" w:eastAsia="宋体" w:cs="宋体"/>
                <w:snapToGrid w:val="0"/>
                <w:color w:val="auto"/>
                <w:sz w:val="21"/>
                <w:szCs w:val="21"/>
                <w:u w:val="none"/>
                <w:shd w:val="clear" w:color="auto" w:fill="auto"/>
                <w:lang w:val="en-US" w:eastAsia="zh-CN" w:bidi="zh-TW"/>
              </w:rPr>
            </w:pPr>
            <w:r>
              <w:rPr>
                <w:rFonts w:hint="eastAsia" w:cs="宋体"/>
                <w:snapToGrid w:val="0"/>
                <w:color w:val="auto"/>
                <w:sz w:val="21"/>
                <w:szCs w:val="21"/>
                <w:u w:val="none"/>
                <w:shd w:val="clear" w:color="auto" w:fill="auto"/>
                <w:lang w:val="en-US" w:eastAsia="zh-CN" w:bidi="zh-TW"/>
              </w:rPr>
              <w:t>区行政审批服务局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pacing w:val="0"/>
                <w:w w:val="100"/>
                <w:position w:val="0"/>
                <w:sz w:val="21"/>
                <w:szCs w:val="21"/>
                <w:u w:val="none"/>
                <w:shd w:val="clear" w:color="auto" w:fill="auto"/>
                <w:lang w:val="en-US" w:eastAsia="zh-CN" w:bidi="ar-SA"/>
              </w:rPr>
              <w:t>部分医疗机构（除三级医院、三级妇幼保健院、急救中心、急救站、临床检验中心、中外合资合作医疗机构、</w:t>
            </w:r>
            <w:r>
              <w:rPr>
                <w:rFonts w:hint="eastAsia" w:cs="宋体"/>
                <w:snapToGrid w:val="0"/>
                <w:color w:val="auto"/>
                <w:spacing w:val="0"/>
                <w:w w:val="100"/>
                <w:position w:val="0"/>
                <w:sz w:val="21"/>
                <w:szCs w:val="21"/>
                <w:u w:val="none"/>
                <w:shd w:val="clear" w:color="auto" w:fill="auto"/>
                <w:lang w:val="en-US" w:eastAsia="zh-CN" w:bidi="ar-SA"/>
              </w:rPr>
              <w:t>港澳</w:t>
            </w:r>
            <w:r>
              <w:rPr>
                <w:rFonts w:hint="eastAsia" w:ascii="宋体" w:hAnsi="宋体" w:eastAsia="宋体" w:cs="宋体"/>
                <w:snapToGrid w:val="0"/>
                <w:color w:val="auto"/>
                <w:spacing w:val="0"/>
                <w:w w:val="100"/>
                <w:position w:val="0"/>
                <w:sz w:val="21"/>
                <w:szCs w:val="21"/>
                <w:u w:val="none"/>
                <w:shd w:val="clear" w:color="auto" w:fill="auto"/>
                <w:lang w:val="en-US" w:eastAsia="zh-CN" w:bidi="ar-SA"/>
              </w:rPr>
              <w:t>台独资医疗机构外）《设置医疗机构批准书》核发</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kern w:val="0"/>
                <w:sz w:val="21"/>
                <w:szCs w:val="21"/>
                <w:lang w:val="en-US" w:eastAsia="zh-CN"/>
              </w:rPr>
              <w:t>行政许可</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default" w:ascii="宋体" w:hAnsi="宋体" w:eastAsia="宋体" w:cs="宋体"/>
                <w:snapToGrid w:val="0"/>
                <w:color w:val="auto"/>
                <w:sz w:val="21"/>
                <w:szCs w:val="21"/>
                <w:u w:val="none"/>
                <w:shd w:val="clear" w:color="auto" w:fill="auto"/>
                <w:lang w:val="en-US" w:eastAsia="zh-CN" w:bidi="zh-TW"/>
              </w:rPr>
            </w:pPr>
            <w:r>
              <w:rPr>
                <w:rFonts w:hint="eastAsia"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取消许可后，卫生健康部门要通过以下措施加强监管：</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1.完善医疗机构设置规划方式，对社会办医疗机构实行指导性规划。加强对社会资本投资医疗机构的服务，同时注意防止以服务之名行审批之实。</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2.严格实施“医疗机构执业登记”，并将审批结果向社会公开。</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3.开展“双随机、一公开”监管、重点监管等，畅通投诉举报渠道，依法处理医患纠纷和医疗事故，加大对医疗机构的监督检查力度，发现违法违规行为要依法查处并向社会公开结果。</w:t>
            </w:r>
          </w:p>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4.依法实施信用监管，如实记录违法失信行为，实施差异化监管措施，对严重违法的医疗机构及其从业人员实行行业禁入。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宋体" w:hAnsi="宋体" w:eastAsia="宋体" w:cs="宋体"/>
                <w:snapToGrid w:val="0"/>
                <w:color w:val="auto"/>
                <w:spacing w:val="12"/>
                <w:sz w:val="21"/>
                <w:szCs w:val="21"/>
                <w:vertAlign w:val="baseline"/>
                <w:lang w:val="en-US" w:eastAsia="zh-CN" w:bidi="ar-SA"/>
              </w:rPr>
            </w:pPr>
            <w:r>
              <w:rPr>
                <w:rFonts w:hint="eastAsia" w:ascii="宋体" w:hAnsi="宋体" w:eastAsia="宋体" w:cs="宋体"/>
                <w:snapToGrid w:val="0"/>
                <w:color w:val="auto"/>
                <w:spacing w:val="12"/>
                <w:sz w:val="21"/>
                <w:szCs w:val="21"/>
                <w:vertAlign w:val="baseline"/>
                <w:lang w:val="en-US" w:eastAsia="zh-CN" w:bidi="ar-SA"/>
              </w:rPr>
              <w:t>4</w:t>
            </w:r>
          </w:p>
        </w:tc>
        <w:tc>
          <w:tcPr>
            <w:tcW w:w="108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kern w:val="0"/>
                <w:sz w:val="21"/>
                <w:szCs w:val="21"/>
                <w:lang w:val="en-US" w:eastAsia="zh-CN" w:bidi="ar-SA"/>
              </w:rPr>
            </w:pPr>
            <w:r>
              <w:rPr>
                <w:rFonts w:hint="eastAsia" w:ascii="宋体" w:hAnsi="宋体" w:eastAsia="宋体"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民族宗教事务</w:t>
            </w:r>
            <w:r>
              <w:rPr>
                <w:rFonts w:hint="eastAsia" w:cs="宋体"/>
                <w:color w:val="auto"/>
                <w:spacing w:val="0"/>
                <w:w w:val="100"/>
                <w:position w:val="0"/>
                <w:sz w:val="21"/>
                <w:szCs w:val="21"/>
                <w:lang w:val="en-US" w:eastAsia="zh-CN"/>
              </w:rPr>
              <w:t>局</w:t>
            </w:r>
          </w:p>
        </w:tc>
        <w:tc>
          <w:tcPr>
            <w:tcW w:w="218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left"/>
              <w:textAlignment w:val="auto"/>
              <w:rPr>
                <w:rFonts w:hint="eastAsia" w:ascii="宋体" w:hAnsi="宋体" w:eastAsia="宋体" w:cs="宋体"/>
                <w:snapToGrid w:val="0"/>
                <w:color w:val="auto"/>
                <w:spacing w:val="12"/>
                <w:sz w:val="21"/>
                <w:szCs w:val="21"/>
                <w:lang w:val="en-US" w:eastAsia="zh-CN" w:bidi="ar-SA"/>
              </w:rPr>
            </w:pPr>
            <w:r>
              <w:rPr>
                <w:rFonts w:hint="eastAsia" w:ascii="宋体" w:hAnsi="宋体" w:eastAsia="宋体" w:cs="宋体"/>
                <w:color w:val="auto"/>
                <w:spacing w:val="0"/>
                <w:w w:val="100"/>
                <w:position w:val="0"/>
                <w:sz w:val="21"/>
                <w:szCs w:val="21"/>
              </w:rPr>
              <w:t>对民族政策和法律法规执行情况的监督检</w:t>
            </w:r>
            <w:r>
              <w:rPr>
                <w:rFonts w:hint="eastAsia" w:cs="宋体"/>
                <w:color w:val="auto"/>
                <w:spacing w:val="0"/>
                <w:w w:val="100"/>
                <w:position w:val="0"/>
                <w:sz w:val="21"/>
                <w:szCs w:val="21"/>
                <w:lang w:val="en-US" w:eastAsia="zh-CN"/>
              </w:rPr>
              <w:t>查</w:t>
            </w:r>
          </w:p>
        </w:tc>
        <w:tc>
          <w:tcPr>
            <w:tcW w:w="703"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kern w:val="0"/>
                <w:sz w:val="21"/>
                <w:szCs w:val="21"/>
                <w:lang w:val="en-US" w:eastAsia="zh-CN" w:bidi="ar-SA"/>
              </w:rPr>
            </w:pPr>
            <w:r>
              <w:rPr>
                <w:rFonts w:hint="eastAsia" w:ascii="宋体" w:hAnsi="宋体" w:eastAsia="宋体" w:cs="宋体"/>
                <w:color w:val="auto"/>
                <w:spacing w:val="0"/>
                <w:w w:val="100"/>
                <w:position w:val="0"/>
                <w:sz w:val="21"/>
                <w:szCs w:val="21"/>
              </w:rPr>
              <w:t>行政检查</w:t>
            </w:r>
          </w:p>
        </w:tc>
        <w:tc>
          <w:tcPr>
            <w:tcW w:w="295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snapToGrid w:val="0"/>
                <w:color w:val="auto"/>
                <w:spacing w:val="12"/>
                <w:kern w:val="0"/>
                <w:sz w:val="21"/>
                <w:szCs w:val="21"/>
                <w:lang w:val="en-US" w:eastAsia="zh-CN" w:bidi="ar-SA"/>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5</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区自然资源局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pacing w:val="0"/>
                <w:w w:val="100"/>
                <w:position w:val="0"/>
                <w:sz w:val="21"/>
                <w:szCs w:val="21"/>
                <w:u w:val="none"/>
                <w:shd w:val="clear" w:color="auto" w:fill="auto"/>
                <w:lang w:val="en-US" w:eastAsia="zh-CN" w:bidi="ar-SA"/>
              </w:rPr>
              <w:t>承担应当登记测绘项目的单位实施测绘前未向测绘行政主管部门办理登记手续的处罚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textAlignment w:val="auto"/>
              <w:rPr>
                <w:rFonts w:hint="eastAsia" w:ascii="宋体" w:hAnsi="宋体" w:eastAsia="宋体" w:cs="宋体"/>
                <w:snapToGrid w:val="0"/>
                <w:color w:val="auto"/>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6</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自然资源</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未经批准擅自以测绘为目的进行航空摄影或者遥感的处罚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textAlignment w:val="auto"/>
              <w:rPr>
                <w:rFonts w:hint="eastAsia" w:ascii="宋体" w:hAnsi="宋体" w:eastAsia="宋体" w:cs="宋体"/>
                <w:snapToGrid w:val="0"/>
                <w:color w:val="auto"/>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7</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自然资源</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未经批准擅自向外国组织和个人及在我国注册的外商投资企业提供测绘成果的处罚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cs="宋体"/>
                <w:color w:val="auto"/>
                <w:spacing w:val="0"/>
                <w:w w:val="100"/>
                <w:position w:val="0"/>
                <w:sz w:val="21"/>
                <w:szCs w:val="21"/>
                <w:lang w:val="en-US" w:eastAsia="zh-CN"/>
              </w:rPr>
            </w:pPr>
            <w:r>
              <w:rPr>
                <w:rFonts w:hint="eastAsia" w:cs="宋体"/>
                <w:color w:val="auto"/>
                <w:sz w:val="21"/>
                <w:szCs w:val="21"/>
                <w:vertAlign w:val="baseline"/>
                <w:lang w:val="en-US" w:eastAsia="zh-CN"/>
              </w:rPr>
              <w:t>原</w:t>
            </w:r>
            <w:r>
              <w:rPr>
                <w:rFonts w:hint="eastAsia" w:ascii="宋体" w:hAnsi="宋体" w:eastAsia="宋体" w:cs="宋体"/>
                <w:color w:val="auto"/>
                <w:sz w:val="21"/>
                <w:szCs w:val="21"/>
                <w:vertAlign w:val="baseline"/>
                <w:lang w:val="en-US" w:eastAsia="zh-CN"/>
              </w:rPr>
              <w:t>实施部门</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z w:val="21"/>
                <w:szCs w:val="21"/>
                <w:vertAlign w:val="baseline"/>
                <w:lang w:val="en-US" w:eastAsia="zh-CN"/>
              </w:rPr>
              <w:t>事项名称及权限</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z w:val="21"/>
                <w:szCs w:val="21"/>
                <w:vertAlign w:val="baseline"/>
                <w:lang w:val="en-US" w:eastAsia="zh-CN"/>
              </w:rPr>
              <w:t>事项类型</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z w:val="21"/>
                <w:szCs w:val="21"/>
                <w:vertAlign w:val="baseline"/>
                <w:lang w:val="en-US" w:eastAsia="zh-CN"/>
              </w:rPr>
              <w:t>调整意见</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center"/>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vertAlign w:val="baseline"/>
                <w:lang w:val="en-US" w:eastAsia="zh-CN"/>
              </w:rPr>
              <w:t>加强事中事后监管措施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8</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自然资源</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基础测绘项目、省重点工程测绘项目和使用财政资金五十万元以上的测绘项目，其测绘成果未经专门的测绘产品质量检验机构检验的处罚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9</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自然资源</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编制、出版、展示或者登载未出版的地图，未加印省测绘行政主管部门的批准文号的处罚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10</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自然资源</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广告版面超过地图图幅百分之二十或者压盖地图内容的处罚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11</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自然资源</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伪造、涂改、转借、转让测绘资质证书、测绘执业资证书、测绘作业证件的处罚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序号</w:t>
            </w:r>
          </w:p>
        </w:tc>
        <w:tc>
          <w:tcPr>
            <w:tcW w:w="108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kern w:val="0"/>
                <w:sz w:val="21"/>
                <w:szCs w:val="21"/>
                <w:lang w:val="en-US" w:eastAsia="zh-CN" w:bidi="ar-SA"/>
              </w:rPr>
            </w:pPr>
            <w:r>
              <w:rPr>
                <w:rFonts w:hint="eastAsia" w:ascii="宋体" w:hAnsi="宋体" w:eastAsia="宋体" w:cs="宋体"/>
                <w:color w:val="auto"/>
                <w:sz w:val="21"/>
                <w:szCs w:val="21"/>
                <w:vertAlign w:val="baseline"/>
                <w:lang w:val="en-US" w:eastAsia="zh-CN"/>
              </w:rPr>
              <w:t>原实施部门</w:t>
            </w:r>
          </w:p>
        </w:tc>
        <w:tc>
          <w:tcPr>
            <w:tcW w:w="218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sz w:val="21"/>
                <w:szCs w:val="21"/>
                <w:lang w:val="en-US" w:eastAsia="zh-CN" w:bidi="ar-SA"/>
              </w:rPr>
            </w:pPr>
            <w:r>
              <w:rPr>
                <w:rFonts w:hint="eastAsia" w:ascii="宋体" w:hAnsi="宋体" w:eastAsia="宋体" w:cs="宋体"/>
                <w:color w:val="auto"/>
                <w:sz w:val="21"/>
                <w:szCs w:val="21"/>
                <w:vertAlign w:val="baseline"/>
                <w:lang w:val="en-US" w:eastAsia="zh-CN"/>
              </w:rPr>
              <w:t>事项名称及权限</w:t>
            </w:r>
          </w:p>
        </w:tc>
        <w:tc>
          <w:tcPr>
            <w:tcW w:w="703"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kern w:val="0"/>
                <w:sz w:val="21"/>
                <w:szCs w:val="21"/>
                <w:lang w:val="en-US" w:eastAsia="zh-CN" w:bidi="ar-SA"/>
              </w:rPr>
            </w:pPr>
            <w:r>
              <w:rPr>
                <w:rFonts w:hint="eastAsia" w:ascii="宋体" w:hAnsi="宋体" w:eastAsia="宋体" w:cs="宋体"/>
                <w:color w:val="auto"/>
                <w:sz w:val="21"/>
                <w:szCs w:val="21"/>
                <w:vertAlign w:val="baseline"/>
                <w:lang w:val="en-US" w:eastAsia="zh-CN"/>
              </w:rPr>
              <w:t>事项类型</w:t>
            </w:r>
          </w:p>
        </w:tc>
        <w:tc>
          <w:tcPr>
            <w:tcW w:w="295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kern w:val="0"/>
                <w:sz w:val="21"/>
                <w:szCs w:val="21"/>
                <w:lang w:val="en-US" w:eastAsia="zh-CN" w:bidi="ar-SA"/>
              </w:rPr>
            </w:pPr>
            <w:r>
              <w:rPr>
                <w:rFonts w:hint="eastAsia" w:ascii="宋体" w:hAnsi="宋体" w:eastAsia="宋体" w:cs="宋体"/>
                <w:color w:val="auto"/>
                <w:sz w:val="21"/>
                <w:szCs w:val="21"/>
                <w:vertAlign w:val="baseline"/>
                <w:lang w:val="en-US" w:eastAsia="zh-CN"/>
              </w:rPr>
              <w:t>调整意见</w:t>
            </w:r>
          </w:p>
        </w:tc>
        <w:tc>
          <w:tcPr>
            <w:tcW w:w="67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kern w:val="0"/>
                <w:sz w:val="21"/>
                <w:szCs w:val="21"/>
                <w:lang w:val="en-US" w:eastAsia="zh-CN" w:bidi="ar-SA"/>
              </w:rPr>
            </w:pPr>
            <w:r>
              <w:rPr>
                <w:rFonts w:hint="eastAsia" w:ascii="宋体" w:hAnsi="宋体" w:eastAsia="宋体" w:cs="宋体"/>
                <w:color w:val="auto"/>
                <w:sz w:val="21"/>
                <w:szCs w:val="21"/>
                <w:vertAlign w:val="baseline"/>
                <w:lang w:val="en-US" w:eastAsia="zh-CN"/>
              </w:rPr>
              <w:t>加强事中事后监管措施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12</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lang w:val="en-US" w:eastAsia="zh-CN"/>
              </w:rPr>
              <w:t>行政审批服务局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城市供水经营许可 证核发</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行政许可</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取消许可后，行政审批服务部门要与水利部门做好事中事后监管的衔接、沟通、协调等工作，水利部门要通过以下措施加强监管：</w:t>
            </w:r>
          </w:p>
          <w:p>
            <w:pPr>
              <w:pStyle w:val="15"/>
              <w:keepNext w:val="0"/>
              <w:keepLines w:val="0"/>
              <w:pageBreakBefore w:val="0"/>
              <w:widowControl w:val="0"/>
              <w:numPr>
                <w:ilvl w:val="0"/>
                <w:numId w:val="0"/>
              </w:numPr>
              <w:shd w:val="clear" w:color="auto" w:fill="auto"/>
              <w:tabs>
                <w:tab w:val="left" w:pos="259"/>
              </w:tabs>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rPr>
              <w:t>1.</w:t>
            </w:r>
            <w:r>
              <w:rPr>
                <w:rFonts w:hint="eastAsia" w:ascii="宋体" w:hAnsi="宋体" w:eastAsia="宋体" w:cs="宋体"/>
                <w:color w:val="auto"/>
                <w:spacing w:val="0"/>
                <w:w w:val="100"/>
                <w:position w:val="0"/>
                <w:sz w:val="21"/>
                <w:szCs w:val="21"/>
              </w:rPr>
              <w:t>纳入日常行业监管。</w:t>
            </w:r>
          </w:p>
          <w:p>
            <w:pPr>
              <w:pStyle w:val="15"/>
              <w:keepNext w:val="0"/>
              <w:keepLines w:val="0"/>
              <w:pageBreakBefore w:val="0"/>
              <w:widowControl w:val="0"/>
              <w:numPr>
                <w:ilvl w:val="0"/>
                <w:numId w:val="0"/>
              </w:numPr>
              <w:shd w:val="clear" w:color="auto" w:fill="auto"/>
              <w:tabs>
                <w:tab w:val="left" w:pos="269"/>
              </w:tabs>
              <w:kinsoku/>
              <w:wordWrap/>
              <w:overflowPunct/>
              <w:topLinePunct w:val="0"/>
              <w:autoSpaceDE/>
              <w:autoSpaceDN/>
              <w:bidi w:val="0"/>
              <w:adjustRightInd/>
              <w:snapToGrid/>
              <w:spacing w:before="0" w:beforeAutospacing="0" w:after="0" w:afterAutospacing="0" w:line="260" w:lineRule="exact"/>
              <w:ind w:left="0" w:leftChars="0" w:right="0" w:rightChars="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rPr>
              <w:t>2.</w:t>
            </w:r>
            <w:r>
              <w:rPr>
                <w:rFonts w:hint="eastAsia" w:ascii="宋体" w:hAnsi="宋体" w:eastAsia="宋体" w:cs="宋体"/>
                <w:color w:val="auto"/>
                <w:spacing w:val="0"/>
                <w:w w:val="100"/>
                <w:position w:val="0"/>
                <w:sz w:val="21"/>
                <w:szCs w:val="21"/>
              </w:rPr>
              <w:t>开展</w:t>
            </w:r>
            <w:r>
              <w:rPr>
                <w:rFonts w:hint="eastAsia" w:ascii="宋体" w:hAnsi="宋体" w:eastAsia="宋体" w:cs="宋体"/>
                <w:color w:val="auto"/>
                <w:spacing w:val="0"/>
                <w:w w:val="100"/>
                <w:position w:val="0"/>
                <w:sz w:val="21"/>
                <w:szCs w:val="21"/>
                <w:lang w:val="zh-CN" w:eastAsia="zh-CN" w:bidi="zh-CN"/>
              </w:rPr>
              <w:t>“双</w:t>
            </w:r>
            <w:r>
              <w:rPr>
                <w:rFonts w:hint="eastAsia" w:ascii="宋体" w:hAnsi="宋体" w:eastAsia="宋体" w:cs="宋体"/>
                <w:color w:val="auto"/>
                <w:spacing w:val="0"/>
                <w:w w:val="100"/>
                <w:position w:val="0"/>
                <w:sz w:val="21"/>
                <w:szCs w:val="21"/>
              </w:rPr>
              <w:t>随机、一公开”监管，畅通投诉举报渠道，发现违法违规行为要依法</w:t>
            </w:r>
            <w:r>
              <w:rPr>
                <w:rFonts w:hint="eastAsia" w:cs="宋体"/>
                <w:color w:val="auto"/>
                <w:spacing w:val="0"/>
                <w:w w:val="100"/>
                <w:position w:val="0"/>
                <w:sz w:val="21"/>
                <w:szCs w:val="21"/>
                <w:lang w:val="en-US" w:eastAsia="zh-CN"/>
              </w:rPr>
              <w:t>查</w:t>
            </w:r>
            <w:r>
              <w:rPr>
                <w:rFonts w:hint="eastAsia" w:ascii="宋体" w:hAnsi="宋体" w:eastAsia="宋体" w:cs="宋体"/>
                <w:color w:val="auto"/>
                <w:spacing w:val="0"/>
                <w:w w:val="100"/>
                <w:position w:val="0"/>
                <w:sz w:val="21"/>
                <w:szCs w:val="21"/>
              </w:rPr>
              <w:t>处并向社会公开结果。</w:t>
            </w:r>
          </w:p>
          <w:p>
            <w:pPr>
              <w:pStyle w:val="15"/>
              <w:keepNext w:val="0"/>
              <w:keepLines w:val="0"/>
              <w:pageBreakBefore w:val="0"/>
              <w:widowControl w:val="0"/>
              <w:numPr>
                <w:ilvl w:val="0"/>
                <w:numId w:val="0"/>
              </w:numPr>
              <w:shd w:val="clear" w:color="auto" w:fill="auto"/>
              <w:tabs>
                <w:tab w:val="left" w:pos="269"/>
              </w:tabs>
              <w:kinsoku/>
              <w:wordWrap/>
              <w:overflowPunct/>
              <w:topLinePunct w:val="0"/>
              <w:autoSpaceDE/>
              <w:autoSpaceDN/>
              <w:bidi w:val="0"/>
              <w:adjustRightInd/>
              <w:snapToGrid/>
              <w:spacing w:before="0" w:beforeAutospacing="0" w:after="0" w:afterAutospacing="0" w:line="260" w:lineRule="exact"/>
              <w:ind w:left="0" w:leftChars="0" w:right="0" w:rightChars="0"/>
              <w:jc w:val="both"/>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lang w:val="en-US" w:eastAsia="zh-CN"/>
              </w:rPr>
              <w:t>3.</w:t>
            </w:r>
            <w:r>
              <w:rPr>
                <w:rFonts w:hint="eastAsia" w:ascii="宋体" w:hAnsi="宋体" w:eastAsia="宋体" w:cs="宋体"/>
                <w:color w:val="auto"/>
                <w:spacing w:val="0"/>
                <w:w w:val="100"/>
                <w:position w:val="0"/>
                <w:sz w:val="21"/>
                <w:szCs w:val="21"/>
              </w:rPr>
              <w:t>依法实施信用监管，如实记录违法失信行为，实施差异化监管等措施。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13</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rPr>
              <w:t>综合行政执法</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对政府投资的大中型建设工程项目初步设计文件未经审</w:t>
            </w:r>
            <w:r>
              <w:rPr>
                <w:rFonts w:hint="eastAsia" w:cs="宋体"/>
                <w:color w:val="auto"/>
                <w:spacing w:val="0"/>
                <w:w w:val="100"/>
                <w:position w:val="0"/>
                <w:sz w:val="21"/>
                <w:szCs w:val="21"/>
                <w:lang w:val="en-US" w:eastAsia="zh-CN"/>
              </w:rPr>
              <w:t>查</w:t>
            </w:r>
            <w:r>
              <w:rPr>
                <w:rFonts w:hint="eastAsia" w:ascii="宋体" w:hAnsi="宋体" w:eastAsia="宋体" w:cs="宋体"/>
                <w:color w:val="auto"/>
                <w:spacing w:val="0"/>
                <w:w w:val="100"/>
                <w:position w:val="0"/>
                <w:sz w:val="21"/>
                <w:szCs w:val="21"/>
              </w:rPr>
              <w:t>或者经审</w:t>
            </w:r>
            <w:r>
              <w:rPr>
                <w:rFonts w:hint="eastAsia" w:cs="宋体"/>
                <w:color w:val="auto"/>
                <w:spacing w:val="0"/>
                <w:w w:val="100"/>
                <w:position w:val="0"/>
                <w:sz w:val="21"/>
                <w:szCs w:val="21"/>
                <w:lang w:val="en-US" w:eastAsia="zh-CN"/>
              </w:rPr>
              <w:t>查</w:t>
            </w:r>
            <w:r>
              <w:rPr>
                <w:rFonts w:hint="eastAsia" w:ascii="宋体" w:hAnsi="宋体" w:eastAsia="宋体" w:cs="宋体"/>
                <w:color w:val="auto"/>
                <w:spacing w:val="0"/>
                <w:w w:val="100"/>
                <w:position w:val="0"/>
                <w:sz w:val="21"/>
                <w:szCs w:val="21"/>
              </w:rPr>
              <w:t>未通过，擅自交付施工的处罚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textAlignment w:val="auto"/>
              <w:rPr>
                <w:rFonts w:hint="eastAsia" w:ascii="宋体" w:hAnsi="宋体" w:eastAsia="宋体" w:cs="宋体"/>
                <w:snapToGrid w:val="0"/>
                <w:color w:val="auto"/>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14</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lang w:val="en-US" w:eastAsia="zh-CN"/>
              </w:rPr>
              <w:t>综合行政执法</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对学校、幼儿园、医院等建筑工程未经抗震设防专项审</w:t>
            </w:r>
            <w:r>
              <w:rPr>
                <w:rFonts w:hint="eastAsia" w:cs="宋体"/>
                <w:color w:val="auto"/>
                <w:spacing w:val="0"/>
                <w:w w:val="100"/>
                <w:position w:val="0"/>
                <w:sz w:val="21"/>
                <w:szCs w:val="21"/>
                <w:lang w:val="en-US" w:eastAsia="zh-CN"/>
              </w:rPr>
              <w:t>查</w:t>
            </w:r>
            <w:r>
              <w:rPr>
                <w:rFonts w:hint="eastAsia" w:ascii="宋体" w:hAnsi="宋体" w:eastAsia="宋体" w:cs="宋体"/>
                <w:color w:val="auto"/>
                <w:spacing w:val="0"/>
                <w:w w:val="100"/>
                <w:position w:val="0"/>
                <w:sz w:val="21"/>
                <w:szCs w:val="21"/>
              </w:rPr>
              <w:t>或者经审</w:t>
            </w:r>
            <w:r>
              <w:rPr>
                <w:rFonts w:hint="eastAsia" w:cs="宋体"/>
                <w:color w:val="auto"/>
                <w:spacing w:val="0"/>
                <w:w w:val="100"/>
                <w:position w:val="0"/>
                <w:sz w:val="21"/>
                <w:szCs w:val="21"/>
                <w:lang w:val="en-US" w:eastAsia="zh-CN"/>
              </w:rPr>
              <w:t>查</w:t>
            </w:r>
            <w:r>
              <w:rPr>
                <w:rFonts w:hint="eastAsia" w:ascii="宋体" w:hAnsi="宋体" w:eastAsia="宋体" w:cs="宋体"/>
                <w:color w:val="auto"/>
                <w:spacing w:val="0"/>
                <w:w w:val="100"/>
                <w:position w:val="0"/>
                <w:sz w:val="21"/>
                <w:szCs w:val="21"/>
              </w:rPr>
              <w:t>未通过，擅自交付施工的处罚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textAlignment w:val="auto"/>
              <w:rPr>
                <w:rFonts w:hint="eastAsia" w:ascii="宋体" w:hAnsi="宋体" w:eastAsia="宋体" w:cs="宋体"/>
                <w:snapToGrid w:val="0"/>
                <w:color w:val="auto"/>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15</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lang w:val="en-US" w:eastAsia="zh-CN"/>
              </w:rPr>
              <w:t>综合行政执法</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对建设单位参与搬迁活动的处罚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textAlignment w:val="auto"/>
              <w:rPr>
                <w:rFonts w:hint="eastAsia" w:ascii="宋体" w:hAnsi="宋体" w:eastAsia="宋体" w:cs="宋体"/>
                <w:snapToGrid w:val="0"/>
                <w:color w:val="auto"/>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16</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lang w:val="en-US" w:eastAsia="zh-CN"/>
              </w:rPr>
              <w:t>行政审批服务局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left"/>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单池容积五百立方米以上的农村可再生能源沼气工程及日供气量五百立方米以上的农村可再生能源秸秆气化工程设计方案核准</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行政许可</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firstLine="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取消许可后，行政审批服务部门要与农业农村部门做好事中事后监管的衔接、沟通、协调等工作，农业农村部门要通过以下措施加强监管：</w:t>
            </w:r>
          </w:p>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firstLine="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加强对农村可再生能源工程的技术服务和指导，定期对当地农村沼气工程的安全运行和使用情况进行检</w:t>
            </w:r>
            <w:r>
              <w:rPr>
                <w:rFonts w:hint="eastAsia" w:cs="宋体"/>
                <w:color w:val="auto"/>
                <w:spacing w:val="0"/>
                <w:w w:val="100"/>
                <w:position w:val="0"/>
                <w:sz w:val="21"/>
                <w:szCs w:val="21"/>
                <w:lang w:val="en-US" w:eastAsia="zh-CN"/>
              </w:rPr>
              <w:t>查</w:t>
            </w:r>
            <w:r>
              <w:rPr>
                <w:rFonts w:hint="eastAsia" w:ascii="宋体" w:hAnsi="宋体" w:eastAsia="宋体" w:cs="宋体"/>
                <w:color w:val="auto"/>
                <w:spacing w:val="0"/>
                <w:w w:val="100"/>
                <w:positio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序号</w:t>
            </w:r>
          </w:p>
        </w:tc>
        <w:tc>
          <w:tcPr>
            <w:tcW w:w="108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0"/>
                <w:w w:val="100"/>
                <w:position w:val="0"/>
                <w:sz w:val="21"/>
                <w:szCs w:val="21"/>
                <w:lang w:val="en-US" w:eastAsia="zh-CN" w:bidi="ar-SA"/>
              </w:rPr>
            </w:pPr>
            <w:r>
              <w:rPr>
                <w:rFonts w:hint="eastAsia" w:ascii="宋体" w:hAnsi="宋体" w:eastAsia="宋体" w:cs="宋体"/>
                <w:color w:val="auto"/>
                <w:sz w:val="21"/>
                <w:szCs w:val="21"/>
                <w:vertAlign w:val="baseline"/>
                <w:lang w:val="en-US" w:eastAsia="zh-CN"/>
              </w:rPr>
              <w:t>原实施部门</w:t>
            </w:r>
          </w:p>
        </w:tc>
        <w:tc>
          <w:tcPr>
            <w:tcW w:w="218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0"/>
                <w:w w:val="100"/>
                <w:position w:val="0"/>
                <w:sz w:val="21"/>
                <w:szCs w:val="21"/>
                <w:lang w:val="en-US" w:eastAsia="zh-CN" w:bidi="ar-SA"/>
              </w:rPr>
            </w:pPr>
            <w:r>
              <w:rPr>
                <w:rFonts w:hint="eastAsia" w:ascii="宋体" w:hAnsi="宋体" w:eastAsia="宋体" w:cs="宋体"/>
                <w:color w:val="auto"/>
                <w:sz w:val="21"/>
                <w:szCs w:val="21"/>
                <w:vertAlign w:val="baseline"/>
                <w:lang w:val="en-US" w:eastAsia="zh-CN"/>
              </w:rPr>
              <w:t>事项名称及权限</w:t>
            </w:r>
          </w:p>
        </w:tc>
        <w:tc>
          <w:tcPr>
            <w:tcW w:w="703"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0"/>
                <w:w w:val="100"/>
                <w:position w:val="0"/>
                <w:sz w:val="21"/>
                <w:szCs w:val="21"/>
                <w:lang w:val="en-US" w:eastAsia="zh-CN" w:bidi="ar-SA"/>
              </w:rPr>
            </w:pPr>
            <w:r>
              <w:rPr>
                <w:rFonts w:hint="eastAsia" w:ascii="宋体" w:hAnsi="宋体" w:eastAsia="宋体" w:cs="宋体"/>
                <w:color w:val="auto"/>
                <w:sz w:val="21"/>
                <w:szCs w:val="21"/>
                <w:vertAlign w:val="baseline"/>
                <w:lang w:val="en-US" w:eastAsia="zh-CN"/>
              </w:rPr>
              <w:t>事项类型</w:t>
            </w:r>
          </w:p>
        </w:tc>
        <w:tc>
          <w:tcPr>
            <w:tcW w:w="295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sz w:val="21"/>
                <w:szCs w:val="21"/>
                <w:u w:val="none"/>
                <w:shd w:val="clear" w:color="auto" w:fill="auto"/>
                <w:lang w:val="en-US" w:eastAsia="zh-CN" w:bidi="zh-TW"/>
              </w:rPr>
            </w:pPr>
            <w:r>
              <w:rPr>
                <w:rFonts w:hint="eastAsia" w:ascii="宋体" w:hAnsi="宋体" w:eastAsia="宋体" w:cs="宋体"/>
                <w:color w:val="auto"/>
                <w:sz w:val="21"/>
                <w:szCs w:val="21"/>
                <w:vertAlign w:val="baseline"/>
                <w:lang w:val="en-US" w:eastAsia="zh-CN"/>
              </w:rPr>
              <w:t>调整意见</w:t>
            </w:r>
          </w:p>
        </w:tc>
        <w:tc>
          <w:tcPr>
            <w:tcW w:w="67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snapToGrid w:val="0"/>
                <w:color w:val="auto"/>
                <w:spacing w:val="12"/>
                <w:sz w:val="21"/>
                <w:szCs w:val="21"/>
                <w:lang w:val="en-US" w:eastAsia="zh-CN" w:bidi="ar-SA"/>
              </w:rPr>
            </w:pPr>
            <w:r>
              <w:rPr>
                <w:rFonts w:hint="eastAsia" w:ascii="宋体" w:hAnsi="宋体" w:eastAsia="宋体" w:cs="宋体"/>
                <w:color w:val="auto"/>
                <w:sz w:val="21"/>
                <w:szCs w:val="21"/>
                <w:vertAlign w:val="baseline"/>
                <w:lang w:val="en-US" w:eastAsia="zh-CN"/>
              </w:rPr>
              <w:t>加强事中事后监管措施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17</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lang w:val="en-US" w:eastAsia="zh-CN"/>
              </w:rPr>
              <w:t>综合行政执法</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outlineLvl w:val="9"/>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对生猪定点屠宰厂 （场）或者小型生猪屠宰场点屠宰技术人员未依法取得县级以上医疗机构开具的健康证明的处罚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textAlignment w:val="auto"/>
              <w:rPr>
                <w:rFonts w:hint="eastAsia" w:ascii="宋体" w:hAnsi="宋体" w:eastAsia="宋体" w:cs="宋体"/>
                <w:snapToGrid w:val="0"/>
                <w:color w:val="auto"/>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18</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lang w:val="en-US" w:eastAsia="zh-CN"/>
              </w:rPr>
              <w:t>综合行政执法</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对生猪定点屠宰厂 （场）运载生猪产品不符合《山东省生猪屠宰管理办法》规定的处罚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19</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w:t>
            </w:r>
            <w:r>
              <w:rPr>
                <w:rFonts w:hint="eastAsia" w:ascii="宋体" w:hAnsi="宋体" w:eastAsia="宋体" w:cs="宋体"/>
                <w:color w:val="auto"/>
                <w:spacing w:val="0"/>
                <w:w w:val="100"/>
                <w:position w:val="0"/>
                <w:sz w:val="21"/>
                <w:szCs w:val="21"/>
                <w:lang w:val="en-US" w:eastAsia="zh-CN"/>
              </w:rPr>
              <w:t>综合行政执法</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对生猪定点屠宰厂 （场）或者小型生猪屠宰场点拒绝为生猪饲养户提供屠宰服务的处罚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12"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20</w:t>
            </w:r>
          </w:p>
        </w:tc>
        <w:tc>
          <w:tcPr>
            <w:tcW w:w="1080"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cs="宋体"/>
                <w:color w:val="auto"/>
                <w:spacing w:val="0"/>
                <w:w w:val="100"/>
                <w:position w:val="0"/>
                <w:sz w:val="21"/>
                <w:szCs w:val="21"/>
                <w:lang w:val="en-US" w:eastAsia="zh-CN"/>
              </w:rPr>
              <w:t>区综</w:t>
            </w:r>
            <w:r>
              <w:rPr>
                <w:rFonts w:hint="eastAsia" w:ascii="宋体" w:hAnsi="宋体" w:eastAsia="宋体" w:cs="宋体"/>
                <w:color w:val="auto"/>
                <w:spacing w:val="0"/>
                <w:w w:val="100"/>
                <w:position w:val="0"/>
                <w:sz w:val="21"/>
                <w:szCs w:val="21"/>
                <w:lang w:val="en-US" w:eastAsia="zh-CN"/>
              </w:rPr>
              <w:t>合行政执法</w:t>
            </w:r>
            <w:r>
              <w:rPr>
                <w:rFonts w:hint="eastAsia" w:cs="宋体"/>
                <w:color w:val="auto"/>
                <w:spacing w:val="0"/>
                <w:w w:val="100"/>
                <w:position w:val="0"/>
                <w:sz w:val="21"/>
                <w:szCs w:val="21"/>
                <w:lang w:val="en-US" w:eastAsia="zh-CN"/>
              </w:rPr>
              <w:t>局</w:t>
            </w:r>
          </w:p>
        </w:tc>
        <w:tc>
          <w:tcPr>
            <w:tcW w:w="2184"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对生猪定点屠宰厂 （场）未按规定建立质量追溯制度的处罚</w:t>
            </w:r>
          </w:p>
        </w:tc>
        <w:tc>
          <w:tcPr>
            <w:tcW w:w="703"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宋体" w:hAnsi="宋体" w:eastAsia="宋体" w:cs="宋体"/>
                <w:snapToGrid w:val="0"/>
                <w:color w:val="auto"/>
                <w:sz w:val="21"/>
                <w:szCs w:val="21"/>
                <w:u w:val="none"/>
                <w:shd w:val="clear" w:color="auto" w:fill="auto"/>
                <w:lang w:val="en-US" w:eastAsia="zh-CN" w:bidi="zh-TW"/>
              </w:rPr>
            </w:pPr>
            <w:r>
              <w:rPr>
                <w:rFonts w:hint="eastAsia" w:ascii="宋体" w:hAnsi="宋体" w:eastAsia="宋体" w:cs="宋体"/>
                <w:color w:val="auto"/>
                <w:spacing w:val="0"/>
                <w:w w:val="100"/>
                <w:position w:val="0"/>
                <w:sz w:val="21"/>
                <w:szCs w:val="21"/>
              </w:rPr>
              <w:t>行政处罚</w:t>
            </w:r>
          </w:p>
        </w:tc>
        <w:tc>
          <w:tcPr>
            <w:tcW w:w="295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r>
              <w:rPr>
                <w:rFonts w:hint="eastAsia" w:ascii="宋体" w:hAnsi="宋体" w:eastAsia="宋体" w:cs="宋体"/>
                <w:snapToGrid w:val="0"/>
                <w:color w:val="auto"/>
                <w:sz w:val="21"/>
                <w:szCs w:val="21"/>
                <w:u w:val="none"/>
                <w:shd w:val="clear" w:color="auto" w:fill="auto"/>
                <w:lang w:val="en-US" w:eastAsia="zh-CN" w:bidi="zh-TW"/>
              </w:rPr>
              <w:t>取消</w:t>
            </w:r>
          </w:p>
        </w:tc>
        <w:tc>
          <w:tcPr>
            <w:tcW w:w="679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right="0" w:rightChars="0" w:firstLine="0" w:firstLineChars="0"/>
              <w:jc w:val="both"/>
              <w:textAlignment w:val="auto"/>
              <w:outlineLvl w:val="9"/>
              <w:rPr>
                <w:rFonts w:hint="eastAsia" w:ascii="宋体" w:hAnsi="宋体" w:eastAsia="宋体" w:cs="宋体"/>
                <w:color w:val="auto"/>
                <w:kern w:val="0"/>
                <w:sz w:val="21"/>
                <w:szCs w:val="21"/>
                <w:lang w:val="en-US" w:eastAsia="zh-CN"/>
              </w:rPr>
            </w:pPr>
          </w:p>
        </w:tc>
      </w:tr>
    </w:tbl>
    <w:p>
      <w:pPr>
        <w:pStyle w:val="14"/>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0" w:firstLineChars="0"/>
        <w:jc w:val="both"/>
        <w:textAlignment w:val="auto"/>
        <w:rPr>
          <w:rFonts w:hint="eastAsia" w:ascii="黑体" w:hAnsi="黑体" w:eastAsia="黑体" w:cs="黑体"/>
          <w:color w:val="auto"/>
          <w:sz w:val="32"/>
          <w:szCs w:val="32"/>
          <w:lang w:val="en-US" w:eastAsia="zh-CN"/>
        </w:rPr>
      </w:pPr>
    </w:p>
    <w:p>
      <w:pPr>
        <w:keepNext w:val="0"/>
        <w:keepLines w:val="0"/>
        <w:pageBreakBefore w:val="0"/>
        <w:kinsoku/>
        <w:wordWrap/>
        <w:overflowPunct/>
        <w:topLinePunct w:val="0"/>
        <w:bidi w:val="0"/>
        <w:adjustRightInd/>
        <w:snapToGrid/>
        <w:spacing w:beforeAutospacing="0" w:afterAutospacing="0" w:line="576" w:lineRule="exact"/>
        <w:ind w:left="0" w:leftChars="0"/>
        <w:textAlignment w:val="auto"/>
        <w:rPr>
          <w:rFonts w:hint="eastAsia"/>
          <w:lang w:val="en-US" w:eastAsia="zh-CN"/>
        </w:rPr>
      </w:pPr>
    </w:p>
    <w:p>
      <w:pPr>
        <w:pStyle w:val="14"/>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0" w:firstLineChars="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p>
    <w:p>
      <w:pPr>
        <w:pStyle w:val="14"/>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承接省市下放或委托实施的行政权力事项表</w:t>
      </w:r>
    </w:p>
    <w:tbl>
      <w:tblPr>
        <w:tblStyle w:val="9"/>
        <w:tblW w:w="14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515"/>
        <w:gridCol w:w="2370"/>
        <w:gridCol w:w="840"/>
        <w:gridCol w:w="2894"/>
        <w:gridCol w:w="6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黑体" w:hAnsi="黑体" w:eastAsia="黑体" w:cs="黑体"/>
                <w:snapToGrid w:val="0"/>
                <w:color w:val="auto"/>
                <w:spacing w:val="12"/>
                <w:sz w:val="21"/>
                <w:szCs w:val="21"/>
                <w:vertAlign w:val="baseline"/>
                <w:lang w:val="en-US" w:eastAsia="zh-CN" w:bidi="ar-SA"/>
              </w:rPr>
            </w:pPr>
            <w:r>
              <w:rPr>
                <w:rFonts w:hint="eastAsia" w:ascii="黑体" w:hAnsi="黑体" w:eastAsia="黑体" w:cs="黑体"/>
                <w:color w:val="auto"/>
                <w:sz w:val="21"/>
                <w:szCs w:val="21"/>
                <w:vertAlign w:val="baseline"/>
                <w:lang w:val="en-US" w:eastAsia="zh-CN"/>
              </w:rPr>
              <w:t>序号</w:t>
            </w:r>
          </w:p>
        </w:tc>
        <w:tc>
          <w:tcPr>
            <w:tcW w:w="151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黑体" w:hAnsi="黑体" w:eastAsia="黑体" w:cs="黑体"/>
                <w:snapToGrid w:val="0"/>
                <w:color w:val="auto"/>
                <w:spacing w:val="12"/>
                <w:sz w:val="21"/>
                <w:szCs w:val="21"/>
                <w:vertAlign w:val="baseline"/>
                <w:lang w:val="en-US" w:eastAsia="zh-CN" w:bidi="ar-SA"/>
              </w:rPr>
            </w:pPr>
            <w:r>
              <w:rPr>
                <w:rFonts w:hint="eastAsia" w:ascii="黑体" w:hAnsi="黑体" w:eastAsia="黑体" w:cs="黑体"/>
                <w:color w:val="auto"/>
                <w:sz w:val="21"/>
                <w:szCs w:val="21"/>
                <w:vertAlign w:val="baseline"/>
                <w:lang w:val="en-US" w:eastAsia="zh-CN"/>
              </w:rPr>
              <w:t>实施部门</w:t>
            </w:r>
          </w:p>
        </w:tc>
        <w:tc>
          <w:tcPr>
            <w:tcW w:w="237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黑体" w:hAnsi="黑体" w:eastAsia="黑体" w:cs="黑体"/>
                <w:snapToGrid w:val="0"/>
                <w:color w:val="auto"/>
                <w:spacing w:val="12"/>
                <w:sz w:val="21"/>
                <w:szCs w:val="21"/>
                <w:vertAlign w:val="baseline"/>
                <w:lang w:val="en-US" w:eastAsia="zh-CN" w:bidi="ar-SA"/>
              </w:rPr>
            </w:pPr>
            <w:r>
              <w:rPr>
                <w:rFonts w:hint="eastAsia" w:ascii="黑体" w:hAnsi="黑体" w:eastAsia="黑体" w:cs="黑体"/>
                <w:color w:val="auto"/>
                <w:sz w:val="21"/>
                <w:szCs w:val="21"/>
                <w:vertAlign w:val="baseline"/>
                <w:lang w:val="en-US" w:eastAsia="zh-CN"/>
              </w:rPr>
              <w:t>事项名称</w:t>
            </w:r>
          </w:p>
        </w:tc>
        <w:tc>
          <w:tcPr>
            <w:tcW w:w="84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黑体" w:hAnsi="黑体" w:eastAsia="黑体" w:cs="黑体"/>
                <w:snapToGrid w:val="0"/>
                <w:color w:val="auto"/>
                <w:spacing w:val="12"/>
                <w:sz w:val="21"/>
                <w:szCs w:val="21"/>
                <w:vertAlign w:val="baseline"/>
                <w:lang w:val="en-US" w:eastAsia="zh-CN" w:bidi="ar-SA"/>
              </w:rPr>
            </w:pPr>
            <w:r>
              <w:rPr>
                <w:rFonts w:hint="eastAsia" w:ascii="黑体" w:hAnsi="黑体" w:eastAsia="黑体" w:cs="黑体"/>
                <w:color w:val="auto"/>
                <w:sz w:val="21"/>
                <w:szCs w:val="21"/>
                <w:vertAlign w:val="baseline"/>
                <w:lang w:val="en-US" w:eastAsia="zh-CN"/>
              </w:rPr>
              <w:t>事项类型</w:t>
            </w:r>
          </w:p>
        </w:tc>
        <w:tc>
          <w:tcPr>
            <w:tcW w:w="28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黑体" w:hAnsi="黑体" w:eastAsia="黑体" w:cs="黑体"/>
                <w:snapToGrid w:val="0"/>
                <w:color w:val="auto"/>
                <w:spacing w:val="12"/>
                <w:sz w:val="21"/>
                <w:szCs w:val="21"/>
                <w:vertAlign w:val="baseline"/>
                <w:lang w:val="en-US" w:eastAsia="zh-CN" w:bidi="ar-SA"/>
              </w:rPr>
            </w:pPr>
            <w:r>
              <w:rPr>
                <w:rFonts w:hint="eastAsia" w:ascii="黑体" w:hAnsi="黑体" w:eastAsia="黑体" w:cs="黑体"/>
                <w:color w:val="auto"/>
                <w:sz w:val="21"/>
                <w:szCs w:val="21"/>
                <w:vertAlign w:val="baseline"/>
                <w:lang w:val="en-US" w:eastAsia="zh-CN"/>
              </w:rPr>
              <w:t>调整意见</w:t>
            </w:r>
          </w:p>
        </w:tc>
        <w:tc>
          <w:tcPr>
            <w:tcW w:w="622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黑体" w:hAnsi="黑体" w:eastAsia="黑体" w:cs="黑体"/>
                <w:snapToGrid w:val="0"/>
                <w:color w:val="auto"/>
                <w:spacing w:val="12"/>
                <w:sz w:val="21"/>
                <w:szCs w:val="21"/>
                <w:vertAlign w:val="baseline"/>
                <w:lang w:val="en-US" w:eastAsia="zh-CN" w:bidi="ar-SA"/>
              </w:rPr>
            </w:pPr>
            <w:r>
              <w:rPr>
                <w:rFonts w:hint="eastAsia" w:ascii="黑体" w:hAnsi="黑体" w:eastAsia="黑体" w:cs="黑体"/>
                <w:color w:val="auto"/>
                <w:sz w:val="21"/>
                <w:szCs w:val="21"/>
                <w:vertAlign w:val="baseline"/>
                <w:lang w:val="en-US" w:eastAsia="zh-CN"/>
              </w:rPr>
              <w:t>加强事中事后监管措施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jc w:val="center"/>
        </w:trPr>
        <w:tc>
          <w:tcPr>
            <w:tcW w:w="623"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51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区商务局</w:t>
            </w:r>
          </w:p>
        </w:tc>
        <w:tc>
          <w:tcPr>
            <w:tcW w:w="237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成品油零售经营资格审批</w:t>
            </w:r>
          </w:p>
        </w:tc>
        <w:tc>
          <w:tcPr>
            <w:tcW w:w="840"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行政许可</w:t>
            </w:r>
          </w:p>
        </w:tc>
        <w:tc>
          <w:tcPr>
            <w:tcW w:w="2894"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由市商务局承接实施。同时，与《淄博市人民政府关于推进“市县同权”改革下放一批行政许可事项的通知》（淄政字〔2020〕65号）相衔接，下放实质性审核权至各区县商务主管部门，市县有同等受理权。</w:t>
            </w:r>
          </w:p>
        </w:tc>
        <w:tc>
          <w:tcPr>
            <w:tcW w:w="6225" w:type="dxa"/>
            <w:noWrap w:val="0"/>
            <w:vAlign w:val="center"/>
          </w:tcPr>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承接后，商务部门要通过以下措施加强监管：</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1.通过检查、抽查、评估等方式加强监管，对发现的问题有权责令限期改正，对违法或者不适当的行政许可行为有权予以纠正或者撤销。</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2.区商务主管部门每年1月份、7月份向市商务局书面报告成品油零售经营许可及关联事项进展情况，每月10日前将上月事项办理有关数据报市商务局备案。</w:t>
            </w:r>
          </w:p>
          <w:p>
            <w:pPr>
              <w:pStyle w:val="14"/>
              <w:keepNext w:val="0"/>
              <w:keepLines w:val="0"/>
              <w:pageBreakBefore w:val="0"/>
              <w:widowControl w:val="0"/>
              <w:kinsoku/>
              <w:wordWrap/>
              <w:overflowPunct/>
              <w:topLinePunct w:val="0"/>
              <w:autoSpaceDE/>
              <w:autoSpaceDN/>
              <w:bidi w:val="0"/>
              <w:adjustRightInd/>
              <w:snapToGrid/>
              <w:spacing w:beforeAutospacing="0" w:afterAutospacing="0" w:line="260" w:lineRule="exact"/>
              <w:ind w:left="0" w:leftChars="0" w:firstLine="0" w:firstLine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w:t>
            </w:r>
            <w:r>
              <w:rPr>
                <w:rFonts w:hint="eastAsia" w:cs="宋体"/>
                <w:color w:val="auto"/>
                <w:sz w:val="21"/>
                <w:szCs w:val="21"/>
                <w:vertAlign w:val="baseline"/>
                <w:lang w:val="en-US" w:eastAsia="zh-CN"/>
              </w:rPr>
              <w:t>.</w:t>
            </w:r>
            <w:bookmarkStart w:id="0" w:name="_GoBack"/>
            <w:bookmarkEnd w:id="0"/>
            <w:r>
              <w:rPr>
                <w:rFonts w:hint="eastAsia" w:ascii="宋体" w:hAnsi="宋体" w:eastAsia="宋体" w:cs="宋体"/>
                <w:color w:val="auto"/>
                <w:sz w:val="21"/>
                <w:szCs w:val="21"/>
                <w:vertAlign w:val="baseline"/>
                <w:lang w:val="en-US" w:eastAsia="zh-CN"/>
              </w:rPr>
              <w:t>对辖区内成品油零售企业开展年度经营资格检查、严格落实“双随机一公开”监管。重点检查企业购销台账制度建立执行情况、按要求销售国Ⅵ标准车用汽柴油情况、是否存在违法违规情况、追溯系统运行情况等，完善油品来源、销售去向、检验报告、检查记录等凭证材料档案。</w:t>
            </w:r>
          </w:p>
        </w:tc>
      </w:tr>
    </w:tbl>
    <w:p>
      <w:pPr>
        <w:pStyle w:val="2"/>
        <w:keepNext w:val="0"/>
        <w:keepLines w:val="0"/>
        <w:pageBreakBefore w:val="0"/>
        <w:widowControl w:val="0"/>
        <w:kinsoku/>
        <w:wordWrap/>
        <w:overflowPunct/>
        <w:topLinePunct w:val="0"/>
        <w:bidi w:val="0"/>
        <w:adjustRightInd/>
        <w:snapToGrid/>
        <w:spacing w:beforeAutospacing="0" w:afterAutospacing="0" w:line="260" w:lineRule="exact"/>
        <w:ind w:left="0" w:leftChars="0"/>
        <w:textAlignment w:val="auto"/>
        <w:rPr>
          <w:rFonts w:hint="eastAsia"/>
          <w:lang w:val="en-US" w:eastAsia="zh-CN"/>
        </w:rPr>
        <w:sectPr>
          <w:footerReference r:id="rId5" w:type="default"/>
          <w:footerReference r:id="rId6" w:type="even"/>
          <w:pgSz w:w="16838" w:h="11906" w:orient="landscape"/>
          <w:pgMar w:top="2098" w:right="1474" w:bottom="1984" w:left="1587" w:header="851" w:footer="992" w:gutter="0"/>
          <w:pgNumType w:fmt="decimal" w:start="3"/>
          <w:cols w:space="425" w:num="1"/>
          <w:docGrid w:type="lines" w:linePitch="312" w:charSpace="0"/>
        </w:sectPr>
      </w:pPr>
    </w:p>
    <w:p>
      <w:pPr>
        <w:pStyle w:val="2"/>
        <w:keepNext w:val="0"/>
        <w:keepLines w:val="0"/>
        <w:pageBreakBefore w:val="0"/>
        <w:kinsoku/>
        <w:wordWrap/>
        <w:overflowPunct/>
        <w:topLinePunct w:val="0"/>
        <w:bidi w:val="0"/>
        <w:adjustRightInd/>
        <w:snapToGrid/>
        <w:spacing w:beforeAutospacing="0" w:afterAutospacing="0" w:line="576" w:lineRule="exact"/>
        <w:ind w:left="0" w:leftChars="0"/>
        <w:textAlignment w:val="auto"/>
        <w:rPr>
          <w:rFonts w:hint="eastAsia"/>
          <w:lang w:val="en-US" w:eastAsia="zh-CN"/>
        </w:rPr>
        <w:sectPr>
          <w:footerReference r:id="rId7" w:type="default"/>
          <w:footerReference r:id="rId8" w:type="even"/>
          <w:pgSz w:w="11906" w:h="16838"/>
          <w:pgMar w:top="2098" w:right="1474" w:bottom="1984" w:left="1587" w:header="851" w:footer="992" w:gutter="0"/>
          <w:pgNumType w:fmt="decimal" w:start="9"/>
          <w:cols w:space="425" w:num="1"/>
          <w:docGrid w:type="lines" w:linePitch="312" w:charSpace="0"/>
        </w:sectPr>
      </w:pPr>
    </w:p>
    <w:p>
      <w:pPr>
        <w:pStyle w:val="2"/>
        <w:keepNext w:val="0"/>
        <w:keepLines w:val="0"/>
        <w:pageBreakBefore w:val="0"/>
        <w:kinsoku/>
        <w:wordWrap/>
        <w:overflowPunct/>
        <w:topLinePunct w:val="0"/>
        <w:bidi w:val="0"/>
        <w:adjustRightInd/>
        <w:snapToGrid/>
        <w:spacing w:beforeAutospacing="0" w:afterAutospacing="0" w:line="576" w:lineRule="exact"/>
        <w:ind w:left="0" w:leftChars="0"/>
        <w:textAlignment w:val="auto"/>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2"/>
        <w:rPr>
          <w:rFonts w:hint="eastAsia"/>
          <w:lang w:val="en-US" w:eastAsia="zh-CN"/>
        </w:rPr>
      </w:pPr>
    </w:p>
    <w:p>
      <w:pPr>
        <w:bidi w:val="0"/>
        <w:rPr>
          <w:rFonts w:hint="eastAsia"/>
          <w:lang w:val="en-US" w:eastAsia="zh-CN"/>
        </w:rPr>
      </w:pPr>
    </w:p>
    <w:p>
      <w:pPr>
        <w:pStyle w:val="2"/>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spacing w:line="576" w:lineRule="exact"/>
        <w:ind w:firstLine="280" w:firstLineChars="100"/>
        <w:rPr>
          <w:rFonts w:hint="eastAsia" w:ascii="仿宋_GB2312" w:eastAsia="仿宋_GB2312"/>
          <w:sz w:val="28"/>
          <w:szCs w:val="28"/>
        </w:rPr>
      </w:pPr>
      <w:r>
        <w:rPr>
          <w:rFonts w:ascii="仿宋_GB2312" w:eastAsia="仿宋_GB2312"/>
          <w:sz w:val="28"/>
          <w:szCs w:val="28"/>
        </w:rP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44450</wp:posOffset>
                </wp:positionV>
                <wp:extent cx="5616575" cy="1270"/>
                <wp:effectExtent l="0" t="0" r="0" b="0"/>
                <wp:wrapNone/>
                <wp:docPr id="20" name="直接连接符 20"/>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05pt;margin-top:3.5pt;height:0.1pt;width:442.25pt;z-index:251663360;mso-width-relative:page;mso-height-relative:page;" filled="f" stroked="t" coordsize="21600,21600" o:gfxdata="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Qqq29MAAAAFAQAADwAAAAAAAAABACAAAAAiAAAAZHJzL2Rvd25yZXYu&#10;eG1sUEsBAhQAFAAAAAgAh07iQAz0ikkAAgAA8wMAAA4AAAAAAAAAAQAgAAAAIgEAAGRycy9lMm9E&#10;b2MueG1sUEsFBgAAAAAGAAYAWQEAAJQFAAAAAA==&#10;">
                <v:fill on="f" focussize="0,0"/>
                <v:stroke color="#000000" joinstyle="round"/>
                <v:imagedata o:title=""/>
                <o:lock v:ext="edit" aspectratio="f"/>
              </v:line>
            </w:pict>
          </mc:Fallback>
        </mc:AlternateContent>
      </w:r>
      <w:r>
        <w:rPr>
          <w:rFonts w:hint="eastAsia" w:ascii="仿宋_GB2312" w:eastAsia="仿宋_GB2312"/>
          <w:sz w:val="28"/>
          <w:szCs w:val="28"/>
        </w:rPr>
        <w:t xml:space="preserve">博山区人民政府办公室                     </w:t>
      </w:r>
      <w:r>
        <w:rPr>
          <w:rFonts w:hint="eastAsia" w:ascii="仿宋_GB2312" w:eastAsia="仿宋_GB2312"/>
          <w:sz w:val="28"/>
          <w:szCs w:val="28"/>
          <w:lang w:val="en-US" w:eastAsia="zh-CN"/>
        </w:rPr>
        <w:t xml:space="preserve">   </w:t>
      </w:r>
      <w:r>
        <w:rPr>
          <w:rFonts w:hint="eastAsia" w:ascii="仿宋_GB2312" w:eastAsia="仿宋_GB2312"/>
          <w:sz w:val="28"/>
          <w:szCs w:val="28"/>
        </w:rPr>
        <w:t>20</w:t>
      </w:r>
      <w:r>
        <w:rPr>
          <w:rFonts w:hint="eastAsia" w:ascii="仿宋_GB2312" w:eastAsia="仿宋_GB2312"/>
          <w:sz w:val="28"/>
          <w:szCs w:val="28"/>
          <w:lang w:val="en-US" w:eastAsia="zh-CN"/>
        </w:rPr>
        <w:t>21</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5</w:t>
      </w:r>
      <w:r>
        <w:rPr>
          <w:rFonts w:hint="eastAsia" w:ascii="仿宋_GB2312" w:eastAsia="仿宋_GB2312"/>
          <w:sz w:val="28"/>
          <w:szCs w:val="28"/>
        </w:rPr>
        <w:t>日印发</w:t>
      </w:r>
    </w:p>
    <w:p>
      <w:pPr>
        <w:spacing w:line="576" w:lineRule="exact"/>
        <w:rPr>
          <w:rFonts w:hint="eastAsia"/>
          <w:lang w:val="en-US" w:eastAsia="zh-CN"/>
        </w:rPr>
      </w:pPr>
      <w:r>
        <w:rPr>
          <w:rFonts w:ascii="仿宋_GB2312" w:eastAsia="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44450</wp:posOffset>
                </wp:positionV>
                <wp:extent cx="5616575" cy="1270"/>
                <wp:effectExtent l="0" t="0" r="0" b="0"/>
                <wp:wrapNone/>
                <wp:docPr id="22" name="直接连接符 22"/>
                <wp:cNvGraphicFramePr/>
                <a:graphic xmlns:a="http://schemas.openxmlformats.org/drawingml/2006/main">
                  <a:graphicData uri="http://schemas.microsoft.com/office/word/2010/wordprocessingShape">
                    <wps:wsp>
                      <wps:cNvCnPr/>
                      <wps:spPr>
                        <a:xfrm flipV="1">
                          <a:off x="0" y="0"/>
                          <a:ext cx="5616575" cy="127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05pt;margin-top:3.5pt;height:0.1pt;width:442.25pt;z-index:251662336;mso-width-relative:page;mso-height-relative:page;" filled="f" stroked="t" coordsize="21600,21600" o:gfxdata="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jFd/zUAAAABQEAAA8AAAAAAAAAAQAgAAAAIgAAAGRycy9kb3ducmV2&#10;LnhtbFBLAQIUABQAAAAIAIdO4kAnOLNNAAIAAPQDAAAOAAAAAAAAAAEAIAAAACMBAABkcnMvZTJv&#10;RG9jLnhtbFBLBQYAAAAABgAGAFkBAACVBQAAAAA=&#10;">
                <v:fill on="f" focussize="0,0"/>
                <v:stroke weight="1pt" color="#000000" joinstyle="round"/>
                <v:imagedata o:title=""/>
                <o:lock v:ext="edit" aspectratio="f"/>
              </v:line>
            </w:pict>
          </mc:Fallback>
        </mc:AlternateContent>
      </w:r>
    </w:p>
    <w:sectPr>
      <w:footerReference r:id="rId9" w:type="default"/>
      <w:footerReference r:id="rId10" w:type="even"/>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816960" behindDoc="0" locked="0" layoutInCell="1" allowOverlap="1">
              <wp:simplePos x="0" y="0"/>
              <wp:positionH relativeFrom="margin">
                <wp:posOffset>4822825</wp:posOffset>
              </wp:positionH>
              <wp:positionV relativeFrom="paragraph">
                <wp:posOffset>-147955</wp:posOffset>
              </wp:positionV>
              <wp:extent cx="759460" cy="26035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75946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79.75pt;margin-top:-11.65pt;height:20.5pt;width:59.8pt;mso-position-horizontal-relative:margin;z-index:251816960;mso-width-relative:page;mso-height-relative:page;" filled="f" stroked="f" coordsize="21600,21600" o:gfxdata="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NMgz2QAAAAoBAAAPAAAAAAAAAAEAIAAAACIAAABkcnMvZG93bnJl&#10;di54bWxQSwECFAAUAAAACACHTuJAhCVeYDUCAABjBAAADgAAAAAAAAABACAAAAAoAQAAZHJzL2Uy&#10;b0RvYy54bWxQSwUGAAAAAAYABgBZAQAAzwUAAAAA&#10;">
              <v:fill on="f" focussize="0,0"/>
              <v:stroke on="f" weight="0.5pt"/>
              <v:imagedata o:title=""/>
              <o:lock v:ext="edit" aspectratio="f"/>
              <v:textbox inset="0mm,0mm,0mm,0mm">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817984" behindDoc="0" locked="0" layoutInCell="1" allowOverlap="1">
              <wp:simplePos x="0" y="0"/>
              <wp:positionH relativeFrom="margin">
                <wp:posOffset>-5715</wp:posOffset>
              </wp:positionH>
              <wp:positionV relativeFrom="paragraph">
                <wp:posOffset>-227330</wp:posOffset>
              </wp:positionV>
              <wp:extent cx="920115" cy="34417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920115" cy="344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45pt;margin-top:-17.9pt;height:27.1pt;width:72.45pt;mso-position-horizontal-relative:margin;z-index:251817984;mso-width-relative:page;mso-height-relative:page;" filled="f" stroked="f" coordsize="21600,21600" o:gfxdata="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rJ05LXAAAACAEAAA8AAAAAAAAAAQAgAAAAIgAAAGRycy9kb3ducmV2&#10;LnhtbFBLAQIUABQAAAAIAIdO4kBv4607NgIAAGMEAAAOAAAAAAAAAAEAIAAAACYBAABkcnMvZTJv&#10;RG9jLnhtbFBLBQYAAAAABgAGAFkBAADOBQAAAAA=&#10;">
              <v:fill on="f" focussize="0,0"/>
              <v:stroke on="f" weight="0.5pt"/>
              <v:imagedata o:title=""/>
              <o:lock v:ext="edit" aspectratio="f"/>
              <v:textbox inset="0mm,0mm,0mm,0mm">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710464" behindDoc="0" locked="0" layoutInCell="1" allowOverlap="1">
              <wp:simplePos x="0" y="0"/>
              <wp:positionH relativeFrom="margin">
                <wp:posOffset>3754755</wp:posOffset>
              </wp:positionH>
              <wp:positionV relativeFrom="paragraph">
                <wp:posOffset>-137795</wp:posOffset>
              </wp:positionV>
              <wp:extent cx="759460" cy="2603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759460" cy="260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95.65pt;margin-top:-10.85pt;height:20.5pt;width:59.8pt;mso-position-horizontal-relative:margin;z-index:251710464;mso-width-relative:page;mso-height-relative:page;" filled="f" stroked="f" coordsize="21600,21600" o:gfxdata="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7QPNgAAAAKAQAADwAAAAAAAAABACAAAAAiAAAAZHJzL2Rvd25yZXYu&#10;eG1sUEsBAhQAFAAAAAgAh07iQF+sdEQ0AgAAYQQAAA4AAAAAAAAAAQAgAAAAJwEAAGRycy9lMm9E&#10;b2MueG1sUEsFBgAAAAAGAAYAWQEAAM0FAAAAAA==&#10;">
              <v:fill on="f" focussize="0,0"/>
              <v:stroke on="f" weight="0.5pt"/>
              <v:imagedata o:title=""/>
              <o:lock v:ext="edit" aspectratio="f"/>
              <v:textbox inset="0mm,0mm,0mm,0mm">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819008" behindDoc="0" locked="0" layoutInCell="1" allowOverlap="1">
              <wp:simplePos x="0" y="0"/>
              <wp:positionH relativeFrom="margin">
                <wp:posOffset>3722370</wp:posOffset>
              </wp:positionH>
              <wp:positionV relativeFrom="paragraph">
                <wp:posOffset>-147955</wp:posOffset>
              </wp:positionV>
              <wp:extent cx="888365" cy="32321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888365" cy="3232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eastAsia="宋体"/>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4</w:t>
                          </w:r>
                          <w:r>
                            <w:rPr>
                              <w:rFonts w:hint="eastAsia"/>
                              <w:sz w:val="28"/>
                              <w:szCs w:val="28"/>
                              <w:lang w:eastAsia="zh-CN"/>
                            </w:rPr>
                            <w:fldChar w:fldCharType="end"/>
                          </w:r>
                          <w:r>
                            <w:rPr>
                              <w:rFonts w:hint="eastAsia"/>
                              <w:sz w:val="28"/>
                              <w:szCs w:val="28"/>
                              <w:lang w:val="en-US" w:eastAsia="zh-CN"/>
                            </w:rPr>
                            <w:t xml:space="preserve"> —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93.1pt;margin-top:-11.65pt;height:25.45pt;width:69.95pt;mso-position-horizontal-relative:margin;z-index:251819008;mso-width-relative:page;mso-height-relative:page;" filled="f" stroked="f" coordsize="21600,21600" o:gfxdata="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VTqmO2QAAAAoBAAAPAAAAAAAAAAEAIAAAACIAAABkcnMvZG93&#10;bnJldi54bWxQSwECFAAUAAAACACHTuJAixE1MzgCAABjBAAADgAAAAAAAAABACAAAAAoAQAAZHJz&#10;L2Uyb0RvYy54bWxQSwUGAAAAAAYABgBZAQAA0gUAAAAA&#10;">
              <v:fill on="f" focussize="0,0"/>
              <v:stroke on="f" weight="0.5pt"/>
              <v:imagedata o:title=""/>
              <o:lock v:ext="edit" aspectratio="f"/>
              <v:textbox inset="0mm,0mm,0mm,0mm">
                <w:txbxContent>
                  <w:p>
                    <w:pPr>
                      <w:pStyle w:val="6"/>
                      <w:rPr>
                        <w:rFonts w:hint="default" w:eastAsia="宋体"/>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4</w:t>
                    </w:r>
                    <w:r>
                      <w:rPr>
                        <w:rFonts w:hint="eastAsia"/>
                        <w:sz w:val="28"/>
                        <w:szCs w:val="28"/>
                        <w:lang w:eastAsia="zh-CN"/>
                      </w:rPr>
                      <w:fldChar w:fldCharType="end"/>
                    </w:r>
                    <w:r>
                      <w:rPr>
                        <w:rFonts w:hint="eastAsia"/>
                        <w:sz w:val="28"/>
                        <w:szCs w:val="28"/>
                        <w:lang w:val="en-US" w:eastAsia="zh-CN"/>
                      </w:rPr>
                      <w:t xml:space="preserve"> —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820032" behindDoc="0" locked="0" layoutInCell="1" allowOverlap="1">
              <wp:simplePos x="0" y="0"/>
              <wp:positionH relativeFrom="margin">
                <wp:posOffset>4853305</wp:posOffset>
              </wp:positionH>
              <wp:positionV relativeFrom="paragraph">
                <wp:posOffset>-113665</wp:posOffset>
              </wp:positionV>
              <wp:extent cx="862330" cy="24892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862330" cy="248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5</w:t>
                          </w:r>
                          <w:r>
                            <w:rPr>
                              <w:rFonts w:hint="eastAsia"/>
                              <w:sz w:val="28"/>
                              <w:szCs w:val="28"/>
                              <w:lang w:eastAsia="zh-CN"/>
                            </w:rPr>
                            <w:fldChar w:fldCharType="end"/>
                          </w:r>
                          <w:r>
                            <w:rPr>
                              <w:rFonts w:hint="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2.15pt;margin-top:-8.95pt;height:19.6pt;width:67.9pt;mso-position-horizontal-relative:margin;z-index:251820032;mso-width-relative:page;mso-height-relative:page;" filled="f" stroked="f" coordsize="21600,21600" o:gfxdata="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3UieS2QAAAAoBAAAPAAAAAAAAAAEAIAAAACIAAABkcnMvZG93&#10;bnJldi54bWxQSwECFAAUAAAACACHTuJApbvzmDgCAABjBAAADgAAAAAAAAABACAAAAAoAQAAZHJz&#10;L2Uyb0RvYy54bWxQSwUGAAAAAAYABgBZAQAA0gUAAAAA&#10;">
              <v:fill on="f" focussize="0,0"/>
              <v:stroke on="f" weight="0.5pt"/>
              <v:imagedata o:title=""/>
              <o:lock v:ext="edit" aspectratio="f"/>
              <v:textbox inset="0mm,0mm,0mm,0mm">
                <w:txbxContent>
                  <w:p>
                    <w:pPr>
                      <w:pStyle w:val="6"/>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5</w:t>
                    </w:r>
                    <w:r>
                      <w:rPr>
                        <w:rFonts w:hint="eastAsia"/>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821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1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0A26F2"/>
    <w:rsid w:val="00771475"/>
    <w:rsid w:val="008D5AED"/>
    <w:rsid w:val="00C246AD"/>
    <w:rsid w:val="01933BA7"/>
    <w:rsid w:val="01C715EF"/>
    <w:rsid w:val="01CF755F"/>
    <w:rsid w:val="01EE78DE"/>
    <w:rsid w:val="01F50336"/>
    <w:rsid w:val="02703F8E"/>
    <w:rsid w:val="029F1EB1"/>
    <w:rsid w:val="03131A30"/>
    <w:rsid w:val="053239AC"/>
    <w:rsid w:val="05E31B0D"/>
    <w:rsid w:val="06E10CF1"/>
    <w:rsid w:val="093313BF"/>
    <w:rsid w:val="09F32414"/>
    <w:rsid w:val="0A5B2257"/>
    <w:rsid w:val="0BAC0AC2"/>
    <w:rsid w:val="0BAD04DF"/>
    <w:rsid w:val="0C5C41CF"/>
    <w:rsid w:val="0D27128A"/>
    <w:rsid w:val="0DE82036"/>
    <w:rsid w:val="0E167B58"/>
    <w:rsid w:val="0E9A3DCC"/>
    <w:rsid w:val="0FB41E6B"/>
    <w:rsid w:val="10362B76"/>
    <w:rsid w:val="10547A58"/>
    <w:rsid w:val="10C217E0"/>
    <w:rsid w:val="11030D73"/>
    <w:rsid w:val="11122716"/>
    <w:rsid w:val="115D2FD3"/>
    <w:rsid w:val="11683968"/>
    <w:rsid w:val="15293A52"/>
    <w:rsid w:val="15BC2D25"/>
    <w:rsid w:val="166F5194"/>
    <w:rsid w:val="16A70E21"/>
    <w:rsid w:val="170A26F2"/>
    <w:rsid w:val="17F12296"/>
    <w:rsid w:val="18607D52"/>
    <w:rsid w:val="18EB4971"/>
    <w:rsid w:val="1AAF4229"/>
    <w:rsid w:val="1ACE4FCC"/>
    <w:rsid w:val="1AD0040A"/>
    <w:rsid w:val="1B4054F7"/>
    <w:rsid w:val="1BF40253"/>
    <w:rsid w:val="1C625E3F"/>
    <w:rsid w:val="1D0B2B66"/>
    <w:rsid w:val="1EC203FC"/>
    <w:rsid w:val="1EFB0CB0"/>
    <w:rsid w:val="208C149D"/>
    <w:rsid w:val="219E48B3"/>
    <w:rsid w:val="23325FA9"/>
    <w:rsid w:val="23710DA8"/>
    <w:rsid w:val="2436648F"/>
    <w:rsid w:val="265A1254"/>
    <w:rsid w:val="26975F5A"/>
    <w:rsid w:val="2762432E"/>
    <w:rsid w:val="28321A1F"/>
    <w:rsid w:val="2923282A"/>
    <w:rsid w:val="29AA4BD7"/>
    <w:rsid w:val="29B512B2"/>
    <w:rsid w:val="2A475278"/>
    <w:rsid w:val="2AE459D8"/>
    <w:rsid w:val="2F1D7A44"/>
    <w:rsid w:val="315D6315"/>
    <w:rsid w:val="339809C6"/>
    <w:rsid w:val="34670C53"/>
    <w:rsid w:val="34F84B0F"/>
    <w:rsid w:val="358829F3"/>
    <w:rsid w:val="36853B2B"/>
    <w:rsid w:val="38501C00"/>
    <w:rsid w:val="386B7012"/>
    <w:rsid w:val="38DE791C"/>
    <w:rsid w:val="3B2E479B"/>
    <w:rsid w:val="3B8F412B"/>
    <w:rsid w:val="3C98477A"/>
    <w:rsid w:val="3D5228ED"/>
    <w:rsid w:val="3D88566B"/>
    <w:rsid w:val="3DCE7862"/>
    <w:rsid w:val="3E4A700A"/>
    <w:rsid w:val="3F800325"/>
    <w:rsid w:val="3FAA5A61"/>
    <w:rsid w:val="3FC1399F"/>
    <w:rsid w:val="42D51883"/>
    <w:rsid w:val="43871565"/>
    <w:rsid w:val="438D05F3"/>
    <w:rsid w:val="43FD2EEF"/>
    <w:rsid w:val="45E00A09"/>
    <w:rsid w:val="46954FE4"/>
    <w:rsid w:val="46A213C7"/>
    <w:rsid w:val="47654B1F"/>
    <w:rsid w:val="48385981"/>
    <w:rsid w:val="484B535B"/>
    <w:rsid w:val="4978311B"/>
    <w:rsid w:val="4BB40EAB"/>
    <w:rsid w:val="4C9E6B98"/>
    <w:rsid w:val="4CBE72F4"/>
    <w:rsid w:val="4D543B1C"/>
    <w:rsid w:val="4E241002"/>
    <w:rsid w:val="4EA900FE"/>
    <w:rsid w:val="4FC33156"/>
    <w:rsid w:val="4FF1475B"/>
    <w:rsid w:val="50E0542F"/>
    <w:rsid w:val="51564CAE"/>
    <w:rsid w:val="517B5C50"/>
    <w:rsid w:val="52384F3B"/>
    <w:rsid w:val="52ED1663"/>
    <w:rsid w:val="53676D87"/>
    <w:rsid w:val="539505DF"/>
    <w:rsid w:val="53A54CE9"/>
    <w:rsid w:val="54CA07B7"/>
    <w:rsid w:val="54D52691"/>
    <w:rsid w:val="558C3D66"/>
    <w:rsid w:val="55F27C48"/>
    <w:rsid w:val="56762748"/>
    <w:rsid w:val="57EB3AFE"/>
    <w:rsid w:val="58E86A9F"/>
    <w:rsid w:val="59EB1945"/>
    <w:rsid w:val="5A036CC1"/>
    <w:rsid w:val="5AC769E9"/>
    <w:rsid w:val="5AD1167F"/>
    <w:rsid w:val="5B192F59"/>
    <w:rsid w:val="5B4C1DCB"/>
    <w:rsid w:val="5B671FE5"/>
    <w:rsid w:val="5D137824"/>
    <w:rsid w:val="5D7C4652"/>
    <w:rsid w:val="5DC541CB"/>
    <w:rsid w:val="5E183C6E"/>
    <w:rsid w:val="5F2A533A"/>
    <w:rsid w:val="5F5B3C50"/>
    <w:rsid w:val="5F6573A1"/>
    <w:rsid w:val="611C6E67"/>
    <w:rsid w:val="61584F63"/>
    <w:rsid w:val="61AD5A68"/>
    <w:rsid w:val="631F5F28"/>
    <w:rsid w:val="633F4D4F"/>
    <w:rsid w:val="636A5605"/>
    <w:rsid w:val="63AF2701"/>
    <w:rsid w:val="65430677"/>
    <w:rsid w:val="6559356A"/>
    <w:rsid w:val="65CA4ADE"/>
    <w:rsid w:val="66E93B68"/>
    <w:rsid w:val="67073716"/>
    <w:rsid w:val="678B6036"/>
    <w:rsid w:val="6A975B93"/>
    <w:rsid w:val="6AA34826"/>
    <w:rsid w:val="6CDF2A8A"/>
    <w:rsid w:val="6CDF2DCB"/>
    <w:rsid w:val="6D89783E"/>
    <w:rsid w:val="6E952D92"/>
    <w:rsid w:val="6F815683"/>
    <w:rsid w:val="6FF03E84"/>
    <w:rsid w:val="70242704"/>
    <w:rsid w:val="704D5C3B"/>
    <w:rsid w:val="70F87418"/>
    <w:rsid w:val="71577D8A"/>
    <w:rsid w:val="71986F1A"/>
    <w:rsid w:val="71B36DAB"/>
    <w:rsid w:val="72D76B8E"/>
    <w:rsid w:val="74A60948"/>
    <w:rsid w:val="74C04DAC"/>
    <w:rsid w:val="759D6932"/>
    <w:rsid w:val="75FF0167"/>
    <w:rsid w:val="761E642D"/>
    <w:rsid w:val="7706517F"/>
    <w:rsid w:val="77F663FE"/>
    <w:rsid w:val="798D207A"/>
    <w:rsid w:val="7A0D184B"/>
    <w:rsid w:val="7A953AD1"/>
    <w:rsid w:val="7AD84408"/>
    <w:rsid w:val="7B4A2D38"/>
    <w:rsid w:val="7C0C06DF"/>
    <w:rsid w:val="7C1E77B7"/>
    <w:rsid w:val="7C517E83"/>
    <w:rsid w:val="7D685A4D"/>
    <w:rsid w:val="7DDD0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qFormat/>
    <w:uiPriority w:val="0"/>
    <w:pPr>
      <w:spacing w:before="0" w:beforeAutospacing="1" w:after="0" w:afterAutospacing="1"/>
      <w:jc w:val="center"/>
      <w:outlineLvl w:val="0"/>
    </w:pPr>
    <w:rPr>
      <w:rFonts w:hint="eastAsia" w:ascii="宋体" w:hAnsi="宋体" w:eastAsia="方正小标宋简体" w:cs="宋体"/>
      <w:bCs/>
      <w:kern w:val="36"/>
      <w:sz w:val="44"/>
      <w:szCs w:val="48"/>
      <w:lang w:bidi="ar"/>
    </w:rPr>
  </w:style>
  <w:style w:type="paragraph" w:styleId="4">
    <w:name w:val="heading 2"/>
    <w:basedOn w:val="1"/>
    <w:next w:val="1"/>
    <w:link w:val="13"/>
    <w:semiHidden/>
    <w:unhideWhenUsed/>
    <w:qFormat/>
    <w:uiPriority w:val="0"/>
    <w:pPr>
      <w:keepNext/>
      <w:outlineLvl w:val="1"/>
    </w:pPr>
    <w:rPr>
      <w:rFonts w:ascii="Times New Roman" w:hAnsi="Times New Roman" w:eastAsia="楷体_GB2312"/>
      <w:bCs/>
      <w:iCs/>
      <w:szCs w:val="36"/>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9"/>
      <w:szCs w:val="29"/>
      <w:lang w:val="zh-CN" w:eastAsia="zh-CN" w:bidi="zh-CN"/>
    </w:r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next w:val="1"/>
    <w:qFormat/>
    <w:uiPriority w:val="99"/>
    <w:pPr>
      <w:spacing w:after="0"/>
      <w:ind w:left="0" w:leftChars="0" w:firstLine="40" w:firstLineChars="225"/>
    </w:pPr>
    <w:rPr>
      <w:rFonts w:ascii="仿宋_GB2312" w:hAnsi="仿宋_GB2312" w:eastAsia="仿宋" w:cs="仿宋_GB2312"/>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标题 2 Char"/>
    <w:link w:val="4"/>
    <w:qFormat/>
    <w:uiPriority w:val="0"/>
    <w:rPr>
      <w:rFonts w:ascii="Times New Roman" w:hAnsi="Times New Roman" w:eastAsia="楷体_GB2312"/>
      <w:sz w:val="32"/>
    </w:rPr>
  </w:style>
  <w:style w:type="paragraph" w:customStyle="1" w:styleId="14">
    <w:name w:val="新A4正文"/>
    <w:basedOn w:val="1"/>
    <w:qFormat/>
    <w:uiPriority w:val="0"/>
    <w:pPr>
      <w:ind w:firstLine="698" w:firstLineChars="133"/>
    </w:pPr>
    <w:rPr>
      <w:spacing w:val="12"/>
      <w:szCs w:val="32"/>
    </w:rPr>
  </w:style>
  <w:style w:type="paragraph" w:customStyle="1" w:styleId="15">
    <w:name w:val="Other|1"/>
    <w:basedOn w:val="1"/>
    <w:qFormat/>
    <w:uiPriority w:val="0"/>
    <w:pPr>
      <w:widowControl w:val="0"/>
      <w:shd w:val="clear" w:color="auto" w:fill="auto"/>
      <w:spacing w:line="444"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2021-02-05T05:43:00Z</dcterms:created>
  <dc:creator>绿豆丸子</dc:creator>
  <cp:lastModifiedBy>绿豆丸子</cp:lastModifiedBy>
  <cp:lastPrinted>2021-03-05T06:27:00Z</cp:lastPrinted>
  <dcterms:modified xsi:type="dcterms:W3CDTF">2021-03-23T02:24:45Z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