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E512F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outlineLvl w:val="9"/>
        <w:rPr>
          <w:rFonts w:hint="eastAsia" w:ascii="方正小标宋简体" w:hAnsi="方正小标宋简体" w:eastAsia="方正小标宋简体" w:cs="方正小标宋简体"/>
          <w:b w:val="0"/>
          <w:bCs/>
          <w:i w:val="0"/>
          <w:caps w:val="0"/>
          <w:color w:val="333333"/>
          <w:spacing w:val="0"/>
          <w:sz w:val="44"/>
          <w:szCs w:val="44"/>
          <w:shd w:val="clear" w:color="auto" w:fill="FFFFFF"/>
          <w:lang w:val="en-US" w:eastAsia="zh-CN"/>
        </w:rPr>
      </w:pPr>
    </w:p>
    <w:p w14:paraId="40EF53F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6" w:lineRule="exact"/>
        <w:ind w:left="0" w:right="0" w:firstLine="880" w:firstLineChars="200"/>
        <w:jc w:val="center"/>
        <w:textAlignment w:val="auto"/>
        <w:outlineLvl w:val="9"/>
        <w:rPr>
          <w:rFonts w:hint="eastAsia" w:ascii="方正小标宋简体" w:hAnsi="方正小标宋简体" w:eastAsia="方正小标宋简体" w:cs="方正小标宋简体"/>
          <w:b w:val="0"/>
          <w:bCs/>
          <w:i w:val="0"/>
          <w:caps w:val="0"/>
          <w:color w:val="333333"/>
          <w:spacing w:val="0"/>
          <w:sz w:val="44"/>
          <w:szCs w:val="44"/>
          <w:shd w:val="clear" w:color="auto" w:fill="FFFFFF"/>
          <w:lang w:val="en-US" w:eastAsia="zh-CN"/>
        </w:rPr>
      </w:pPr>
      <w:r>
        <w:rPr>
          <w:rFonts w:hint="eastAsia" w:ascii="方正小标宋简体" w:hAnsi="方正小标宋简体" w:eastAsia="方正小标宋简体" w:cs="方正小标宋简体"/>
          <w:b w:val="0"/>
          <w:bCs/>
          <w:i w:val="0"/>
          <w:caps w:val="0"/>
          <w:color w:val="333333"/>
          <w:spacing w:val="0"/>
          <w:sz w:val="44"/>
          <w:szCs w:val="44"/>
          <w:highlight w:val="none"/>
          <w:shd w:val="clear" w:color="auto" w:fill="FFFFFF"/>
          <w:lang w:val="en-US" w:eastAsia="zh-CN"/>
        </w:rPr>
        <w:t>博山区</w:t>
      </w:r>
      <w:r>
        <w:rPr>
          <w:rFonts w:hint="eastAsia" w:ascii="方正小标宋简体" w:hAnsi="方正小标宋简体" w:eastAsia="方正小标宋简体" w:cs="方正小标宋简体"/>
          <w:b w:val="0"/>
          <w:bCs/>
          <w:i w:val="0"/>
          <w:caps w:val="0"/>
          <w:color w:val="333333"/>
          <w:spacing w:val="0"/>
          <w:sz w:val="44"/>
          <w:szCs w:val="44"/>
          <w:shd w:val="clear" w:color="auto" w:fill="FFFFFF"/>
          <w:lang w:val="en-US" w:eastAsia="zh-CN"/>
        </w:rPr>
        <w:t>源泉镇人民政府</w:t>
      </w:r>
    </w:p>
    <w:p w14:paraId="5E515D6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6" w:lineRule="exact"/>
        <w:ind w:left="0" w:right="0" w:firstLine="812" w:firstLineChars="200"/>
        <w:jc w:val="center"/>
        <w:textAlignment w:val="auto"/>
        <w:outlineLvl w:val="9"/>
        <w:rPr>
          <w:rFonts w:hint="eastAsia" w:ascii="方正小标宋简体" w:hAnsi="方正小标宋简体" w:eastAsia="方正小标宋简体" w:cs="方正小标宋简体"/>
          <w:b w:val="0"/>
          <w:bCs/>
          <w:i w:val="0"/>
          <w:caps w:val="0"/>
          <w:color w:val="333333"/>
          <w:spacing w:val="0"/>
          <w:sz w:val="44"/>
          <w:szCs w:val="44"/>
          <w:shd w:val="clear" w:color="auto" w:fill="FFFFFF"/>
          <w:lang w:val="en-US" w:eastAsia="zh-CN"/>
        </w:rPr>
      </w:pPr>
      <w:r>
        <w:rPr>
          <w:rFonts w:hint="eastAsia" w:ascii="方正小标宋简体" w:hAnsi="方正小标宋简体" w:eastAsia="方正小标宋简体" w:cs="方正小标宋简体"/>
          <w:b w:val="0"/>
          <w:bCs/>
          <w:i w:val="0"/>
          <w:caps w:val="0"/>
          <w:color w:val="333333"/>
          <w:spacing w:val="-17"/>
          <w:sz w:val="44"/>
          <w:szCs w:val="44"/>
          <w:shd w:val="clear" w:color="auto" w:fill="FFFFFF"/>
          <w:lang w:val="en-US" w:eastAsia="zh-CN"/>
        </w:rPr>
        <w:t>2024年</w:t>
      </w:r>
      <w:r>
        <w:rPr>
          <w:rFonts w:hint="eastAsia" w:ascii="方正小标宋简体" w:hAnsi="方正小标宋简体" w:eastAsia="方正小标宋简体" w:cs="方正小标宋简体"/>
          <w:b w:val="0"/>
          <w:bCs/>
          <w:i w:val="0"/>
          <w:caps w:val="0"/>
          <w:color w:val="333333"/>
          <w:spacing w:val="-17"/>
          <w:sz w:val="44"/>
          <w:szCs w:val="44"/>
          <w:shd w:val="clear" w:color="auto" w:fill="FFFFFF"/>
        </w:rPr>
        <w:t>政府信息公开工作</w:t>
      </w:r>
      <w:r>
        <w:rPr>
          <w:rFonts w:hint="eastAsia" w:ascii="方正小标宋简体" w:hAnsi="方正小标宋简体" w:eastAsia="方正小标宋简体" w:cs="方正小标宋简体"/>
          <w:b w:val="0"/>
          <w:bCs/>
          <w:i w:val="0"/>
          <w:caps w:val="0"/>
          <w:color w:val="333333"/>
          <w:spacing w:val="0"/>
          <w:sz w:val="44"/>
          <w:szCs w:val="44"/>
          <w:shd w:val="clear" w:color="auto" w:fill="FFFFFF"/>
        </w:rPr>
        <w:t>年度报告</w:t>
      </w:r>
    </w:p>
    <w:p w14:paraId="76F02F1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76" w:lineRule="exact"/>
        <w:ind w:left="0" w:right="0" w:firstLine="420"/>
        <w:jc w:val="both"/>
        <w:textAlignment w:val="auto"/>
        <w:rPr>
          <w:rFonts w:hint="eastAsia" w:ascii="宋体" w:hAnsi="宋体" w:eastAsia="宋体" w:cs="宋体"/>
          <w:i w:val="0"/>
          <w:caps w:val="0"/>
          <w:color w:val="333333"/>
          <w:spacing w:val="0"/>
          <w:sz w:val="24"/>
          <w:szCs w:val="24"/>
        </w:rPr>
      </w:pPr>
    </w:p>
    <w:p w14:paraId="32BFF6E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76" w:lineRule="exact"/>
        <w:ind w:left="0" w:right="0" w:firstLine="420"/>
        <w:jc w:val="both"/>
        <w:textAlignment w:val="auto"/>
        <w:rPr>
          <w:rFonts w:hint="eastAsia" w:ascii="宋体" w:hAnsi="宋体" w:eastAsia="宋体" w:cs="宋体"/>
          <w:i w:val="0"/>
          <w:caps w:val="0"/>
          <w:color w:val="333333"/>
          <w:spacing w:val="0"/>
          <w:sz w:val="24"/>
          <w:szCs w:val="24"/>
        </w:rPr>
      </w:pPr>
    </w:p>
    <w:p w14:paraId="200D645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76" w:lineRule="exact"/>
        <w:ind w:left="0" w:right="0" w:firstLine="640" w:firstLineChars="200"/>
        <w:jc w:val="left"/>
        <w:textAlignment w:val="auto"/>
        <w:rPr>
          <w:rFonts w:hint="eastAsia" w:ascii="仿宋_GB2312" w:hAnsi="仿宋_GB2312" w:eastAsia="仿宋_GB2312" w:cs="仿宋_GB2312"/>
          <w:i w:val="0"/>
          <w:caps w:val="0"/>
          <w:color w:val="000000"/>
          <w:spacing w:val="0"/>
          <w:sz w:val="32"/>
          <w:szCs w:val="32"/>
          <w:lang w:eastAsia="zh-CN"/>
        </w:rPr>
      </w:pPr>
      <w:r>
        <w:rPr>
          <w:rFonts w:hint="eastAsia" w:ascii="仿宋_GB2312" w:hAnsi="仿宋_GB2312" w:eastAsia="仿宋_GB2312" w:cs="仿宋_GB2312"/>
          <w:i w:val="0"/>
          <w:caps w:val="0"/>
          <w:color w:val="000000"/>
          <w:spacing w:val="0"/>
          <w:sz w:val="32"/>
          <w:szCs w:val="32"/>
          <w:lang w:eastAsia="zh-CN"/>
        </w:rPr>
        <w:t>本年度报告中所列数据的统计期限自202</w:t>
      </w:r>
      <w:r>
        <w:rPr>
          <w:rFonts w:hint="eastAsia" w:ascii="仿宋_GB2312" w:hAnsi="仿宋_GB2312" w:eastAsia="仿宋_GB2312" w:cs="仿宋_GB2312"/>
          <w:i w:val="0"/>
          <w:caps w:val="0"/>
          <w:color w:val="000000"/>
          <w:spacing w:val="0"/>
          <w:sz w:val="32"/>
          <w:szCs w:val="32"/>
          <w:lang w:val="en-US" w:eastAsia="zh-CN"/>
        </w:rPr>
        <w:t>4</w:t>
      </w:r>
      <w:r>
        <w:rPr>
          <w:rFonts w:hint="eastAsia" w:ascii="仿宋_GB2312" w:hAnsi="仿宋_GB2312" w:eastAsia="仿宋_GB2312" w:cs="仿宋_GB2312"/>
          <w:i w:val="0"/>
          <w:caps w:val="0"/>
          <w:color w:val="000000"/>
          <w:spacing w:val="0"/>
          <w:sz w:val="32"/>
          <w:szCs w:val="32"/>
          <w:lang w:eastAsia="zh-CN"/>
        </w:rPr>
        <w:t>年1月1日起，至202</w:t>
      </w:r>
      <w:r>
        <w:rPr>
          <w:rFonts w:hint="eastAsia" w:ascii="仿宋_GB2312" w:hAnsi="仿宋_GB2312" w:eastAsia="仿宋_GB2312" w:cs="仿宋_GB2312"/>
          <w:i w:val="0"/>
          <w:caps w:val="0"/>
          <w:color w:val="000000"/>
          <w:spacing w:val="0"/>
          <w:sz w:val="32"/>
          <w:szCs w:val="32"/>
          <w:lang w:val="en-US" w:eastAsia="zh-CN"/>
        </w:rPr>
        <w:t>4</w:t>
      </w:r>
      <w:r>
        <w:rPr>
          <w:rFonts w:hint="eastAsia" w:ascii="仿宋_GB2312" w:hAnsi="仿宋_GB2312" w:eastAsia="仿宋_GB2312" w:cs="仿宋_GB2312"/>
          <w:i w:val="0"/>
          <w:caps w:val="0"/>
          <w:color w:val="000000"/>
          <w:spacing w:val="0"/>
          <w:sz w:val="32"/>
          <w:szCs w:val="32"/>
          <w:lang w:eastAsia="zh-CN"/>
        </w:rPr>
        <w:t>年12月31日止。如对报告内容有疑问，请与</w:t>
      </w:r>
      <w:r>
        <w:rPr>
          <w:rFonts w:hint="eastAsia" w:ascii="仿宋_GB2312" w:hAnsi="仿宋_GB2312" w:eastAsia="仿宋_GB2312" w:cs="仿宋_GB2312"/>
          <w:i w:val="0"/>
          <w:caps w:val="0"/>
          <w:color w:val="000000"/>
          <w:spacing w:val="0"/>
          <w:sz w:val="32"/>
          <w:szCs w:val="32"/>
          <w:highlight w:val="none"/>
          <w:lang w:val="en-US" w:eastAsia="zh-CN"/>
        </w:rPr>
        <w:t>博山区</w:t>
      </w:r>
      <w:r>
        <w:rPr>
          <w:rFonts w:hint="eastAsia" w:ascii="仿宋_GB2312" w:hAnsi="仿宋_GB2312" w:eastAsia="仿宋_GB2312" w:cs="仿宋_GB2312"/>
          <w:i w:val="0"/>
          <w:caps w:val="0"/>
          <w:color w:val="000000"/>
          <w:spacing w:val="0"/>
          <w:sz w:val="32"/>
          <w:szCs w:val="32"/>
          <w:lang w:val="en-US" w:eastAsia="zh-CN"/>
        </w:rPr>
        <w:t>源泉镇人民政府</w:t>
      </w:r>
      <w:r>
        <w:rPr>
          <w:rFonts w:hint="eastAsia" w:ascii="仿宋_GB2312" w:hAnsi="仿宋_GB2312" w:eastAsia="仿宋_GB2312" w:cs="仿宋_GB2312"/>
          <w:i w:val="0"/>
          <w:caps w:val="0"/>
          <w:color w:val="000000"/>
          <w:spacing w:val="0"/>
          <w:sz w:val="32"/>
          <w:szCs w:val="32"/>
          <w:lang w:eastAsia="zh-CN"/>
        </w:rPr>
        <w:t>联系（地址：博山区源泉镇源东村；邮编：</w:t>
      </w:r>
      <w:r>
        <w:rPr>
          <w:rFonts w:hint="eastAsia" w:ascii="仿宋_GB2312" w:hAnsi="仿宋_GB2312" w:eastAsia="仿宋_GB2312" w:cs="仿宋_GB2312"/>
          <w:i w:val="0"/>
          <w:caps w:val="0"/>
          <w:color w:val="000000"/>
          <w:spacing w:val="0"/>
          <w:sz w:val="32"/>
          <w:szCs w:val="32"/>
          <w:lang w:val="en-US" w:eastAsia="zh-CN"/>
        </w:rPr>
        <w:t>255204</w:t>
      </w:r>
      <w:r>
        <w:rPr>
          <w:rFonts w:hint="eastAsia" w:ascii="仿宋_GB2312" w:hAnsi="仿宋_GB2312" w:eastAsia="仿宋_GB2312" w:cs="仿宋_GB2312"/>
          <w:i w:val="0"/>
          <w:caps w:val="0"/>
          <w:color w:val="000000"/>
          <w:spacing w:val="0"/>
          <w:sz w:val="32"/>
          <w:szCs w:val="32"/>
          <w:lang w:eastAsia="zh-CN"/>
        </w:rPr>
        <w:t>；电话：</w:t>
      </w:r>
      <w:r>
        <w:rPr>
          <w:rFonts w:hint="eastAsia" w:ascii="仿宋_GB2312" w:hAnsi="仿宋_GB2312" w:eastAsia="仿宋_GB2312" w:cs="仿宋_GB2312"/>
          <w:i w:val="0"/>
          <w:caps w:val="0"/>
          <w:color w:val="000000"/>
          <w:spacing w:val="0"/>
          <w:sz w:val="32"/>
          <w:szCs w:val="32"/>
          <w:lang w:val="en-US" w:eastAsia="zh-CN"/>
        </w:rPr>
        <w:t>0533-4810046</w:t>
      </w:r>
      <w:r>
        <w:rPr>
          <w:rFonts w:hint="eastAsia" w:ascii="仿宋_GB2312" w:hAnsi="仿宋_GB2312" w:eastAsia="仿宋_GB2312" w:cs="仿宋_GB2312"/>
          <w:i w:val="0"/>
          <w:caps w:val="0"/>
          <w:color w:val="000000"/>
          <w:spacing w:val="0"/>
          <w:sz w:val="32"/>
          <w:szCs w:val="32"/>
          <w:lang w:eastAsia="zh-CN"/>
        </w:rPr>
        <w:t>；电子邮箱：</w:t>
      </w:r>
      <w:r>
        <w:rPr>
          <w:rFonts w:hint="eastAsia" w:ascii="仿宋_GB2312" w:hAnsi="仿宋_GB2312" w:eastAsia="仿宋_GB2312" w:cs="仿宋_GB2312"/>
          <w:i w:val="0"/>
          <w:caps w:val="0"/>
          <w:color w:val="000000"/>
          <w:spacing w:val="0"/>
          <w:sz w:val="32"/>
          <w:szCs w:val="32"/>
          <w:lang w:val="en-US" w:eastAsia="zh-CN"/>
        </w:rPr>
        <w:t>yqzdzb4810046@163.com</w:t>
      </w:r>
      <w:r>
        <w:rPr>
          <w:rFonts w:hint="eastAsia" w:ascii="仿宋_GB2312" w:hAnsi="仿宋_GB2312" w:eastAsia="仿宋_GB2312" w:cs="仿宋_GB2312"/>
          <w:i w:val="0"/>
          <w:caps w:val="0"/>
          <w:color w:val="000000"/>
          <w:spacing w:val="0"/>
          <w:sz w:val="32"/>
          <w:szCs w:val="32"/>
          <w:lang w:eastAsia="zh-CN"/>
        </w:rPr>
        <w:t>）。</w:t>
      </w:r>
    </w:p>
    <w:p w14:paraId="7B529D0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76" w:lineRule="exact"/>
        <w:ind w:left="0" w:right="0" w:firstLine="643" w:firstLineChars="200"/>
        <w:jc w:val="both"/>
        <w:textAlignment w:val="auto"/>
        <w:rPr>
          <w:rFonts w:hint="eastAsia" w:ascii="黑体" w:hAnsi="黑体" w:eastAsia="黑体" w:cs="黑体"/>
          <w:i w:val="0"/>
          <w:caps w:val="0"/>
          <w:color w:val="333333"/>
          <w:spacing w:val="0"/>
          <w:sz w:val="32"/>
          <w:szCs w:val="32"/>
        </w:rPr>
      </w:pPr>
      <w:r>
        <w:rPr>
          <w:rFonts w:hint="eastAsia" w:ascii="黑体" w:hAnsi="黑体" w:eastAsia="黑体" w:cs="黑体"/>
          <w:b/>
          <w:i w:val="0"/>
          <w:caps w:val="0"/>
          <w:color w:val="333333"/>
          <w:spacing w:val="0"/>
          <w:sz w:val="32"/>
          <w:szCs w:val="32"/>
          <w:shd w:val="clear" w:color="auto" w:fill="FFFFFF"/>
        </w:rPr>
        <w:t>一、总体情况</w:t>
      </w:r>
    </w:p>
    <w:p w14:paraId="792D8256">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FF0000"/>
          <w:sz w:val="32"/>
          <w:szCs w:val="32"/>
          <w:lang w:val="en-US" w:eastAsia="zh-CN"/>
        </w:rPr>
      </w:pPr>
      <w:r>
        <w:rPr>
          <w:rFonts w:hint="eastAsia" w:ascii="仿宋_GB2312" w:eastAsia="仿宋_GB2312"/>
          <w:sz w:val="32"/>
          <w:szCs w:val="32"/>
          <w:lang w:val="en-US" w:eastAsia="zh-CN"/>
        </w:rPr>
        <w:t>2024年，源泉镇人民政府</w:t>
      </w:r>
      <w:r>
        <w:rPr>
          <w:rFonts w:hint="eastAsia" w:ascii="仿宋_GB2312" w:eastAsia="仿宋_GB2312" w:cs="Times New Roman"/>
          <w:sz w:val="32"/>
          <w:szCs w:val="32"/>
          <w:lang w:val="en-US" w:eastAsia="zh-CN"/>
        </w:rPr>
        <w:t>严格贯彻落实《中华人民共和国政府信息公开条例》，认</w:t>
      </w:r>
      <w:r>
        <w:rPr>
          <w:rFonts w:hint="eastAsia" w:ascii="仿宋_GB2312" w:eastAsia="仿宋_GB2312"/>
          <w:sz w:val="32"/>
          <w:szCs w:val="32"/>
        </w:rPr>
        <w:t>真贯彻落实政务公开工作要点，</w:t>
      </w:r>
      <w:bookmarkStart w:id="9" w:name="_GoBack"/>
      <w:bookmarkEnd w:id="9"/>
      <w:r>
        <w:rPr>
          <w:rFonts w:hint="eastAsia" w:ascii="仿宋_GB2312" w:eastAsia="仿宋_GB2312"/>
          <w:sz w:val="32"/>
          <w:szCs w:val="32"/>
        </w:rPr>
        <w:t>不断完善工作机制、拓展公开渠道、强化队伍建设</w:t>
      </w:r>
      <w:r>
        <w:rPr>
          <w:rFonts w:hint="eastAsia" w:ascii="仿宋_GB2312" w:eastAsia="仿宋_GB2312"/>
          <w:sz w:val="32"/>
          <w:szCs w:val="32"/>
          <w:lang w:eastAsia="zh-CN"/>
        </w:rPr>
        <w:t>、</w:t>
      </w:r>
      <w:r>
        <w:rPr>
          <w:rFonts w:hint="eastAsia" w:ascii="仿宋_GB2312" w:eastAsia="仿宋_GB2312"/>
          <w:sz w:val="32"/>
          <w:szCs w:val="32"/>
        </w:rPr>
        <w:t>优化公开服务</w:t>
      </w:r>
      <w:r>
        <w:rPr>
          <w:rFonts w:hint="eastAsia" w:ascii="仿宋_GB2312" w:eastAsia="仿宋_GB2312"/>
          <w:sz w:val="32"/>
          <w:szCs w:val="32"/>
          <w:lang w:eastAsia="zh-CN"/>
        </w:rPr>
        <w:t>，</w:t>
      </w:r>
      <w:r>
        <w:rPr>
          <w:rFonts w:hint="eastAsia" w:ascii="仿宋_GB2312" w:eastAsia="仿宋_GB2312"/>
          <w:sz w:val="32"/>
          <w:szCs w:val="32"/>
        </w:rPr>
        <w:t>努力提升</w:t>
      </w:r>
      <w:r>
        <w:rPr>
          <w:rFonts w:hint="eastAsia" w:ascii="仿宋_GB2312" w:eastAsia="仿宋_GB2312"/>
          <w:sz w:val="32"/>
          <w:szCs w:val="32"/>
          <w:lang w:val="en-US" w:eastAsia="zh-CN"/>
        </w:rPr>
        <w:t>镇政府</w:t>
      </w:r>
      <w:r>
        <w:rPr>
          <w:rFonts w:hint="eastAsia" w:ascii="仿宋_GB2312" w:eastAsia="仿宋_GB2312"/>
          <w:sz w:val="32"/>
          <w:szCs w:val="32"/>
        </w:rPr>
        <w:t>政务公开质效，推进政务公开标准化、规范化建设。</w:t>
      </w:r>
    </w:p>
    <w:p w14:paraId="0651F29E">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color w:val="000000"/>
          <w:sz w:val="32"/>
          <w:szCs w:val="32"/>
          <w:lang w:val="en-US" w:eastAsia="zh-CN"/>
        </w:rPr>
        <w:t>1.加强主动公开。</w:t>
      </w:r>
      <w:r>
        <w:rPr>
          <w:rFonts w:hint="eastAsia" w:ascii="仿宋_GB2312" w:eastAsia="仿宋_GB2312"/>
          <w:sz w:val="32"/>
          <w:szCs w:val="32"/>
          <w:lang w:val="en-US" w:eastAsia="zh-CN"/>
        </w:rPr>
        <w:t>镇政府紧紧围绕上级文件和“以公开为常态、不公开为例外”等工作要求，持续推进政务公开工作，不断加大政府信息主动公开力度，突出做好机构职能、政府工作报告、行政执法公示、建议提案办理等。2024年全年源泉镇通过博山区政府网站共主动公开信息88条。</w:t>
      </w:r>
    </w:p>
    <w:p w14:paraId="229293CE">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color w:val="000000"/>
          <w:sz w:val="32"/>
          <w:szCs w:val="32"/>
          <w:lang w:val="en-US" w:eastAsia="zh-CN"/>
        </w:rPr>
        <w:t>2.规范</w:t>
      </w:r>
      <w:r>
        <w:rPr>
          <w:rFonts w:ascii="楷体_GB2312" w:hAnsi="宋体" w:eastAsia="楷体_GB2312" w:cs="楷体_GB2312"/>
          <w:i w:val="0"/>
          <w:iCs w:val="0"/>
          <w:caps w:val="0"/>
          <w:color w:val="000000"/>
          <w:spacing w:val="0"/>
          <w:sz w:val="32"/>
          <w:szCs w:val="32"/>
          <w:shd w:val="clear" w:fill="FFFFFF"/>
        </w:rPr>
        <w:t>依申请公开工作</w:t>
      </w:r>
      <w:r>
        <w:rPr>
          <w:rFonts w:hint="eastAsia" w:ascii="楷体_GB2312" w:hAnsi="楷体_GB2312" w:eastAsia="楷体_GB2312" w:cs="楷体_GB2312"/>
          <w:color w:val="000000"/>
          <w:sz w:val="32"/>
          <w:szCs w:val="32"/>
          <w:lang w:val="en-US" w:eastAsia="zh-CN"/>
        </w:rPr>
        <w:t>。2</w:t>
      </w:r>
      <w:r>
        <w:rPr>
          <w:rFonts w:hint="eastAsia" w:ascii="仿宋_GB2312" w:eastAsia="仿宋_GB2312"/>
          <w:sz w:val="32"/>
          <w:szCs w:val="32"/>
        </w:rPr>
        <w:t>02</w:t>
      </w:r>
      <w:r>
        <w:rPr>
          <w:rFonts w:hint="eastAsia" w:ascii="仿宋_GB2312" w:eastAsia="仿宋_GB2312"/>
          <w:sz w:val="32"/>
          <w:szCs w:val="32"/>
          <w:lang w:val="en-US" w:eastAsia="zh-CN"/>
        </w:rPr>
        <w:t>4</w:t>
      </w:r>
      <w:r>
        <w:rPr>
          <w:rFonts w:hint="eastAsia" w:ascii="仿宋_GB2312" w:eastAsia="仿宋_GB2312"/>
          <w:sz w:val="32"/>
          <w:szCs w:val="32"/>
        </w:rPr>
        <w:t>年，</w:t>
      </w:r>
      <w:r>
        <w:rPr>
          <w:rFonts w:hint="eastAsia" w:ascii="仿宋_GB2312" w:eastAsia="仿宋_GB2312"/>
          <w:sz w:val="32"/>
          <w:szCs w:val="32"/>
          <w:lang w:eastAsia="zh-CN"/>
        </w:rPr>
        <w:t>我</w:t>
      </w:r>
      <w:r>
        <w:rPr>
          <w:rFonts w:hint="eastAsia" w:ascii="仿宋_GB2312" w:eastAsia="仿宋_GB2312"/>
          <w:sz w:val="32"/>
          <w:szCs w:val="32"/>
          <w:lang w:val="en-US" w:eastAsia="zh-CN"/>
        </w:rPr>
        <w:t>镇</w:t>
      </w:r>
      <w:r>
        <w:rPr>
          <w:rFonts w:hint="eastAsia" w:ascii="仿宋_GB2312" w:eastAsia="仿宋_GB2312"/>
          <w:sz w:val="32"/>
          <w:szCs w:val="32"/>
        </w:rPr>
        <w:t>共收到政府信息公开申请</w:t>
      </w:r>
      <w:r>
        <w:rPr>
          <w:rFonts w:hint="eastAsia" w:ascii="仿宋_GB2312" w:eastAsia="仿宋_GB2312"/>
          <w:sz w:val="32"/>
          <w:szCs w:val="32"/>
          <w:lang w:val="en-US" w:eastAsia="zh-CN"/>
        </w:rPr>
        <w:t>0件</w:t>
      </w:r>
      <w:r>
        <w:rPr>
          <w:rFonts w:hint="eastAsia" w:ascii="仿宋_GB2312" w:eastAsia="仿宋_GB2312"/>
          <w:sz w:val="32"/>
          <w:szCs w:val="32"/>
        </w:rPr>
        <w:t>。</w:t>
      </w:r>
      <w:r>
        <w:rPr>
          <w:rFonts w:hint="eastAsia" w:ascii="仿宋_GB2312" w:eastAsia="仿宋_GB2312"/>
          <w:sz w:val="32"/>
          <w:szCs w:val="32"/>
          <w:lang w:val="en-US" w:eastAsia="zh-CN"/>
        </w:rPr>
        <w:t>与2023年相比，今年未新增依申请公开件。</w:t>
      </w:r>
    </w:p>
    <w:p w14:paraId="1A4424FB">
      <w:pPr>
        <w:keepNext w:val="0"/>
        <w:keepLines w:val="0"/>
        <w:pageBreakBefore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color w:val="000000"/>
          <w:sz w:val="32"/>
          <w:szCs w:val="32"/>
          <w:lang w:val="en-US" w:eastAsia="zh-CN"/>
        </w:rPr>
        <w:t>3.强化政府信息管理。</w:t>
      </w:r>
      <w:r>
        <w:rPr>
          <w:rFonts w:hint="eastAsia" w:ascii="仿宋_GB2312" w:hAnsi="仿宋_GB2312" w:eastAsia="仿宋_GB2312" w:cs="仿宋_GB2312"/>
          <w:sz w:val="32"/>
          <w:szCs w:val="32"/>
          <w:highlight w:val="none"/>
          <w:lang w:val="en-US" w:eastAsia="zh-CN"/>
        </w:rPr>
        <w:t>镇政府</w:t>
      </w:r>
      <w:r>
        <w:rPr>
          <w:rFonts w:hint="eastAsia" w:ascii="仿宋_GB2312" w:hAnsi="仿宋_GB2312" w:eastAsia="仿宋_GB2312" w:cs="仿宋_GB2312"/>
          <w:i w:val="0"/>
          <w:caps w:val="0"/>
          <w:color w:val="000000"/>
          <w:spacing w:val="0"/>
          <w:sz w:val="32"/>
          <w:szCs w:val="32"/>
          <w:shd w:val="clear" w:color="auto" w:fill="FFFFFF"/>
          <w:lang w:eastAsia="zh-CN"/>
        </w:rPr>
        <w:t>不断完善规范信息审核发布机制，充分发挥</w:t>
      </w:r>
      <w:r>
        <w:rPr>
          <w:rFonts w:hint="eastAsia" w:ascii="仿宋_GB2312" w:hAnsi="仿宋_GB2312" w:eastAsia="仿宋_GB2312" w:cs="仿宋_GB2312"/>
          <w:i w:val="0"/>
          <w:caps w:val="0"/>
          <w:color w:val="000000"/>
          <w:spacing w:val="0"/>
          <w:sz w:val="32"/>
          <w:szCs w:val="32"/>
          <w:shd w:val="clear" w:color="auto" w:fill="FFFFFF"/>
          <w:lang w:val="en-US" w:eastAsia="zh-CN"/>
        </w:rPr>
        <w:t>镇</w:t>
      </w:r>
      <w:r>
        <w:rPr>
          <w:rFonts w:hint="eastAsia" w:ascii="仿宋_GB2312" w:hAnsi="仿宋_GB2312" w:eastAsia="仿宋_GB2312" w:cs="仿宋_GB2312"/>
          <w:i w:val="0"/>
          <w:caps w:val="0"/>
          <w:color w:val="000000"/>
          <w:spacing w:val="0"/>
          <w:sz w:val="32"/>
          <w:szCs w:val="32"/>
          <w:shd w:val="clear" w:color="auto" w:fill="FFFFFF"/>
          <w:lang w:eastAsia="zh-CN"/>
        </w:rPr>
        <w:t>职能部门主体责任，切实落实网站信息发布内容“三审三校”制，对不合格信息内容及时退回。坚决杜绝出现站点无法访问、栏目不更新、表述含糊不清等问题。同时，坚持“涉密信息不公开、敏感信息不上网、隐私信息要遮掩”原则，严把网站隐私信息安全关口，确保上网信息准确、真实，不发生泄密、隐私信息上网等问题。</w:t>
      </w:r>
    </w:p>
    <w:p w14:paraId="2DCEC2B6">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b/>
          <w:bCs/>
          <w:color w:val="FF0000"/>
          <w:sz w:val="32"/>
          <w:szCs w:val="32"/>
          <w:lang w:eastAsia="zh-CN"/>
        </w:rPr>
      </w:pPr>
      <w:r>
        <w:rPr>
          <w:rFonts w:hint="eastAsia" w:ascii="楷体_GB2312" w:hAnsi="楷体_GB2312" w:eastAsia="楷体_GB2312" w:cs="楷体_GB2312"/>
          <w:color w:val="000000"/>
          <w:sz w:val="32"/>
          <w:szCs w:val="32"/>
          <w:lang w:val="en-US" w:eastAsia="zh-CN"/>
        </w:rPr>
        <w:t>4.</w:t>
      </w:r>
      <w:r>
        <w:rPr>
          <w:rFonts w:ascii="楷体_GB2312" w:hAnsi="宋体" w:eastAsia="楷体_GB2312" w:cs="楷体_GB2312"/>
          <w:i w:val="0"/>
          <w:iCs w:val="0"/>
          <w:caps w:val="0"/>
          <w:color w:val="000000"/>
          <w:spacing w:val="0"/>
          <w:sz w:val="32"/>
          <w:szCs w:val="32"/>
          <w:shd w:val="clear" w:fill="FFFFFF"/>
        </w:rPr>
        <w:t>完善政府信息公开平台建设</w:t>
      </w:r>
      <w:r>
        <w:rPr>
          <w:rFonts w:hint="eastAsia" w:ascii="楷体_GB2312" w:hAnsi="楷体_GB2312" w:eastAsia="楷体_GB2312" w:cs="楷体_GB2312"/>
          <w:color w:val="000000"/>
          <w:sz w:val="32"/>
          <w:szCs w:val="32"/>
          <w:lang w:val="en-US" w:eastAsia="zh-CN"/>
        </w:rPr>
        <w:t>。</w:t>
      </w:r>
      <w:r>
        <w:rPr>
          <w:rFonts w:hint="eastAsia" w:ascii="楷体_GB2312" w:hAnsi="楷体_GB2312" w:eastAsia="楷体_GB2312" w:cs="楷体_GB2312"/>
          <w:color w:val="000000"/>
          <w:sz w:val="32"/>
          <w:szCs w:val="32"/>
          <w:highlight w:val="none"/>
          <w:lang w:val="en-US" w:eastAsia="zh-CN"/>
        </w:rPr>
        <w:t>2024</w:t>
      </w:r>
      <w:r>
        <w:rPr>
          <w:rFonts w:hint="eastAsia" w:ascii="仿宋_GB2312" w:hAnsi="仿宋_GB2312" w:eastAsia="仿宋_GB2312" w:cs="仿宋_GB2312"/>
          <w:sz w:val="32"/>
          <w:szCs w:val="32"/>
          <w:highlight w:val="none"/>
          <w:lang w:val="en-US" w:eastAsia="zh-CN"/>
        </w:rPr>
        <w:t>年度镇政府</w:t>
      </w:r>
      <w:r>
        <w:rPr>
          <w:rFonts w:hint="eastAsia" w:ascii="仿宋_GB2312" w:hAnsi="仿宋_GB2312" w:eastAsia="仿宋_GB2312" w:cs="仿宋_GB2312"/>
          <w:i w:val="0"/>
          <w:caps w:val="0"/>
          <w:color w:val="000000"/>
          <w:spacing w:val="0"/>
          <w:sz w:val="32"/>
          <w:szCs w:val="32"/>
          <w:shd w:val="clear" w:color="auto" w:fill="FFFFFF"/>
        </w:rPr>
        <w:t>依托</w:t>
      </w:r>
      <w:r>
        <w:rPr>
          <w:rFonts w:hint="eastAsia" w:ascii="仿宋_GB2312" w:hAnsi="宋体" w:eastAsia="仿宋_GB2312" w:cs="仿宋_GB2312"/>
          <w:i w:val="0"/>
          <w:iCs w:val="0"/>
          <w:caps w:val="0"/>
          <w:color w:val="000000"/>
          <w:spacing w:val="0"/>
          <w:sz w:val="32"/>
          <w:szCs w:val="32"/>
          <w:highlight w:val="none"/>
          <w:lang w:val="en-US" w:eastAsia="zh-CN"/>
        </w:rPr>
        <w:t>微信公众号</w:t>
      </w:r>
      <w:r>
        <w:rPr>
          <w:rFonts w:ascii="仿宋_GB2312" w:hAnsi="宋体" w:eastAsia="仿宋_GB2312" w:cs="仿宋_GB2312"/>
          <w:i w:val="0"/>
          <w:iCs w:val="0"/>
          <w:caps w:val="0"/>
          <w:color w:val="000000"/>
          <w:spacing w:val="0"/>
          <w:sz w:val="32"/>
          <w:szCs w:val="32"/>
          <w:highlight w:val="none"/>
        </w:rPr>
        <w:t>“秀美山川幸福源泉”</w:t>
      </w:r>
      <w:r>
        <w:rPr>
          <w:rFonts w:hint="eastAsia" w:ascii="仿宋_GB2312" w:hAnsi="宋体" w:eastAsia="仿宋_GB2312" w:cs="仿宋_GB2312"/>
          <w:i w:val="0"/>
          <w:iCs w:val="0"/>
          <w:caps w:val="0"/>
          <w:color w:val="000000"/>
          <w:spacing w:val="0"/>
          <w:sz w:val="32"/>
          <w:szCs w:val="32"/>
          <w:highlight w:val="none"/>
          <w:lang w:eastAsia="zh-CN"/>
        </w:rPr>
        <w:t>、</w:t>
      </w:r>
      <w:r>
        <w:rPr>
          <w:rFonts w:hint="eastAsia" w:ascii="仿宋_GB2312" w:hAnsi="宋体" w:eastAsia="仿宋_GB2312" w:cs="仿宋_GB2312"/>
          <w:i w:val="0"/>
          <w:iCs w:val="0"/>
          <w:caps w:val="0"/>
          <w:color w:val="000000"/>
          <w:spacing w:val="0"/>
          <w:sz w:val="32"/>
          <w:szCs w:val="32"/>
          <w:lang w:val="en-US" w:eastAsia="zh-CN"/>
        </w:rPr>
        <w:t>抖音号“源泉镇欢迎您”等载体，</w:t>
      </w:r>
      <w:r>
        <w:rPr>
          <w:rFonts w:hint="eastAsia" w:ascii="仿宋_GB2312" w:eastAsia="仿宋_GB2312"/>
          <w:sz w:val="32"/>
          <w:szCs w:val="32"/>
        </w:rPr>
        <w:t>加大工作宣传报道</w:t>
      </w:r>
      <w:r>
        <w:rPr>
          <w:rFonts w:hint="eastAsia" w:ascii="仿宋_GB2312" w:eastAsia="仿宋_GB2312"/>
          <w:sz w:val="32"/>
          <w:szCs w:val="32"/>
          <w:lang w:val="en-US" w:eastAsia="zh-CN"/>
        </w:rPr>
        <w:t>的</w:t>
      </w:r>
      <w:r>
        <w:rPr>
          <w:rFonts w:hint="eastAsia" w:ascii="仿宋_GB2312" w:eastAsia="仿宋_GB2312"/>
          <w:sz w:val="32"/>
          <w:szCs w:val="32"/>
        </w:rPr>
        <w:t>力度</w:t>
      </w:r>
      <w:r>
        <w:rPr>
          <w:rFonts w:hint="eastAsia" w:ascii="仿宋_GB2312" w:eastAsia="仿宋_GB2312"/>
          <w:sz w:val="32"/>
          <w:szCs w:val="32"/>
          <w:lang w:eastAsia="zh-CN"/>
        </w:rPr>
        <w:t>。</w:t>
      </w:r>
      <w:r>
        <w:rPr>
          <w:rFonts w:hint="eastAsia" w:ascii="仿宋_GB2312" w:eastAsia="仿宋_GB2312"/>
          <w:sz w:val="32"/>
          <w:szCs w:val="32"/>
        </w:rPr>
        <w:t>按照规范优化政务新媒体建设与管理工作有关要求</w:t>
      </w:r>
      <w:r>
        <w:rPr>
          <w:rFonts w:hint="eastAsia" w:ascii="仿宋_GB2312" w:eastAsia="仿宋_GB2312"/>
          <w:sz w:val="32"/>
          <w:szCs w:val="32"/>
          <w:lang w:eastAsia="zh-CN"/>
        </w:rPr>
        <w:t>，</w:t>
      </w:r>
      <w:r>
        <w:rPr>
          <w:rFonts w:hint="eastAsia" w:ascii="仿宋_GB2312" w:eastAsia="仿宋_GB2312"/>
          <w:sz w:val="32"/>
          <w:szCs w:val="32"/>
          <w:lang w:val="en-US" w:eastAsia="zh-CN"/>
        </w:rPr>
        <w:t>关停公众号、抖音号后，2025年在博山区官方微信订阅号“博山政务”、“博山好”APP，继续发布镇各项工作动态</w:t>
      </w:r>
      <w:r>
        <w:rPr>
          <w:rFonts w:hint="eastAsia" w:ascii="仿宋_GB2312" w:eastAsia="仿宋_GB2312"/>
          <w:sz w:val="32"/>
          <w:szCs w:val="32"/>
          <w:lang w:eastAsia="zh-CN"/>
        </w:rPr>
        <w:t>。同时，推动政务公开与政务服务深度融合，</w:t>
      </w:r>
      <w:r>
        <w:rPr>
          <w:rFonts w:hint="eastAsia" w:ascii="仿宋_GB2312" w:eastAsia="仿宋_GB2312"/>
          <w:sz w:val="32"/>
          <w:szCs w:val="32"/>
        </w:rPr>
        <w:t>在</w:t>
      </w:r>
      <w:r>
        <w:rPr>
          <w:rFonts w:hint="eastAsia" w:ascii="仿宋_GB2312" w:eastAsia="仿宋_GB2312"/>
          <w:sz w:val="32"/>
          <w:szCs w:val="32"/>
          <w:lang w:val="en-US" w:eastAsia="zh-CN"/>
        </w:rPr>
        <w:t>镇政府</w:t>
      </w:r>
      <w:r>
        <w:rPr>
          <w:rFonts w:hint="eastAsia" w:ascii="仿宋_GB2312" w:eastAsia="仿宋_GB2312"/>
          <w:sz w:val="32"/>
          <w:szCs w:val="32"/>
        </w:rPr>
        <w:t>便民服务大厅设立了政务公开专区，</w:t>
      </w:r>
      <w:r>
        <w:rPr>
          <w:rFonts w:hint="eastAsia" w:ascii="仿宋_GB2312" w:eastAsia="仿宋_GB2312"/>
          <w:sz w:val="32"/>
          <w:szCs w:val="32"/>
          <w:lang w:eastAsia="zh-CN"/>
        </w:rPr>
        <w:t>既可查询政务公开内容，又可搜索政务服务办理事项、办事指南等，</w:t>
      </w:r>
      <w:r>
        <w:rPr>
          <w:rFonts w:hint="eastAsia" w:ascii="仿宋_GB2312" w:eastAsia="仿宋_GB2312"/>
          <w:sz w:val="32"/>
          <w:szCs w:val="32"/>
        </w:rPr>
        <w:t>并配备</w:t>
      </w:r>
      <w:r>
        <w:rPr>
          <w:rFonts w:hint="eastAsia" w:ascii="仿宋_GB2312" w:eastAsia="仿宋_GB2312"/>
          <w:sz w:val="32"/>
          <w:szCs w:val="32"/>
          <w:lang w:val="en-US" w:eastAsia="zh-CN"/>
        </w:rPr>
        <w:t>专门工作</w:t>
      </w:r>
      <w:r>
        <w:rPr>
          <w:rFonts w:hint="eastAsia" w:ascii="仿宋_GB2312" w:eastAsia="仿宋_GB2312"/>
          <w:sz w:val="32"/>
          <w:szCs w:val="32"/>
        </w:rPr>
        <w:t>人员，提供办事咨询答复等服务</w:t>
      </w:r>
      <w:r>
        <w:rPr>
          <w:rFonts w:hint="eastAsia" w:ascii="仿宋_GB2312" w:eastAsia="仿宋_GB2312"/>
          <w:sz w:val="32"/>
          <w:szCs w:val="32"/>
          <w:lang w:eastAsia="zh-CN"/>
        </w:rPr>
        <w:t>，</w:t>
      </w:r>
      <w:r>
        <w:rPr>
          <w:rFonts w:hint="eastAsia" w:ascii="仿宋_GB2312" w:eastAsia="仿宋_GB2312"/>
          <w:sz w:val="32"/>
          <w:szCs w:val="32"/>
        </w:rPr>
        <w:t>真正打通便民服务“最后一米”</w:t>
      </w:r>
      <w:r>
        <w:rPr>
          <w:rFonts w:hint="eastAsia" w:ascii="仿宋_GB2312" w:eastAsia="仿宋_GB2312"/>
          <w:sz w:val="32"/>
          <w:szCs w:val="32"/>
          <w:lang w:eastAsia="zh-CN"/>
        </w:rPr>
        <w:t>，</w:t>
      </w:r>
      <w:r>
        <w:rPr>
          <w:rFonts w:hint="eastAsia" w:ascii="仿宋_GB2312" w:eastAsia="仿宋_GB2312"/>
          <w:sz w:val="32"/>
          <w:szCs w:val="32"/>
        </w:rPr>
        <w:t>为政府信息公开深入</w:t>
      </w:r>
      <w:r>
        <w:rPr>
          <w:rFonts w:hint="eastAsia" w:ascii="仿宋_GB2312" w:eastAsia="仿宋_GB2312"/>
          <w:sz w:val="32"/>
          <w:szCs w:val="32"/>
          <w:lang w:val="en-US" w:eastAsia="zh-CN"/>
        </w:rPr>
        <w:t>村</w:t>
      </w:r>
      <w:r>
        <w:rPr>
          <w:rFonts w:hint="eastAsia" w:ascii="仿宋_GB2312" w:eastAsia="仿宋_GB2312"/>
          <w:sz w:val="32"/>
          <w:szCs w:val="32"/>
        </w:rPr>
        <w:t>、深入居民提供了更加有利的平台。</w:t>
      </w:r>
    </w:p>
    <w:p w14:paraId="7D3A473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楷体_GB2312" w:hAnsi="楷体_GB2312" w:eastAsia="楷体_GB2312" w:cs="楷体_GB2312"/>
          <w:color w:val="000000"/>
          <w:kern w:val="2"/>
          <w:sz w:val="32"/>
          <w:szCs w:val="32"/>
          <w:lang w:val="en-US" w:eastAsia="zh-CN" w:bidi="ar-SA"/>
        </w:rPr>
        <w:t>5.落实监督保障职能。</w:t>
      </w:r>
      <w:r>
        <w:rPr>
          <w:rFonts w:hint="eastAsia" w:ascii="仿宋_GB2312" w:hAnsi="仿宋_GB2312" w:eastAsia="仿宋_GB2312" w:cs="仿宋_GB2312"/>
          <w:sz w:val="32"/>
          <w:szCs w:val="32"/>
          <w:highlight w:val="none"/>
          <w:lang w:val="en-US" w:eastAsia="zh-CN"/>
        </w:rPr>
        <w:t>明确政府信息公开工作分管领导和工作机构，落实分工，细化责任，强化工作人员信息公开意识，严格按照政府信息公开发布制度和流程，保障政府信息公开工作的顺利推进。</w:t>
      </w:r>
      <w:r>
        <w:rPr>
          <w:rFonts w:hint="eastAsia" w:ascii="仿宋_GB2312" w:hAnsi="Calibri" w:eastAsia="仿宋_GB2312" w:cs="Times New Roman"/>
          <w:kern w:val="2"/>
          <w:sz w:val="32"/>
          <w:szCs w:val="32"/>
          <w:lang w:val="en-US" w:eastAsia="zh-CN" w:bidi="ar-SA"/>
        </w:rPr>
        <w:t>政务公开工作由镇党政办牵头，负责推进、协调、指导全镇政务公开工作，全面做好政务公开工作的督促和指导工作。为加强政务公开人员的“内功”修炼，提升业务能力，源泉镇集中组织便民服务大厅和相关部门工作人员开展政务公开交流培训，针对政务公开日常工作中遇到的疑点、难点问题进行剖析、讲解。</w:t>
      </w:r>
    </w:p>
    <w:p w14:paraId="09D377D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0" w:firstLineChars="200"/>
        <w:jc w:val="both"/>
        <w:rPr>
          <w:rFonts w:hint="eastAsia" w:ascii="黑体" w:hAnsi="黑体" w:eastAsia="黑体" w:cs="黑体"/>
          <w:b w:val="0"/>
          <w:bCs/>
          <w:i w:val="0"/>
          <w:caps w:val="0"/>
          <w:color w:val="333333"/>
          <w:spacing w:val="0"/>
          <w:sz w:val="32"/>
          <w:szCs w:val="32"/>
        </w:rPr>
      </w:pPr>
      <w:r>
        <w:rPr>
          <w:rFonts w:hint="eastAsia" w:ascii="黑体" w:hAnsi="黑体" w:eastAsia="黑体" w:cs="黑体"/>
          <w:b w:val="0"/>
          <w:bCs/>
          <w:i w:val="0"/>
          <w:caps w:val="0"/>
          <w:color w:val="333333"/>
          <w:spacing w:val="0"/>
          <w:sz w:val="32"/>
          <w:szCs w:val="32"/>
          <w:shd w:val="clear" w:color="auto" w:fill="FFFFFF"/>
        </w:rPr>
        <w:t>二、主动公开政府信息情况</w:t>
      </w:r>
    </w:p>
    <w:tbl>
      <w:tblPr>
        <w:tblStyle w:val="3"/>
        <w:tblW w:w="8824" w:type="dxa"/>
        <w:jc w:val="center"/>
        <w:tblLayout w:type="fixed"/>
        <w:tblCellMar>
          <w:top w:w="0" w:type="dxa"/>
          <w:left w:w="108" w:type="dxa"/>
          <w:bottom w:w="0" w:type="dxa"/>
          <w:right w:w="108" w:type="dxa"/>
        </w:tblCellMar>
      </w:tblPr>
      <w:tblGrid>
        <w:gridCol w:w="2206"/>
        <w:gridCol w:w="2206"/>
        <w:gridCol w:w="2206"/>
        <w:gridCol w:w="2206"/>
      </w:tblGrid>
      <w:tr w14:paraId="35CB66E0">
        <w:tblPrEx>
          <w:tblCellMar>
            <w:top w:w="0" w:type="dxa"/>
            <w:left w:w="108" w:type="dxa"/>
            <w:bottom w:w="0" w:type="dxa"/>
            <w:right w:w="108" w:type="dxa"/>
          </w:tblCellMar>
        </w:tblPrEx>
        <w:trPr>
          <w:trHeight w:val="567" w:hRule="atLeast"/>
          <w:jc w:val="center"/>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61D059D2">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第二十条第（一）项</w:t>
            </w:r>
          </w:p>
        </w:tc>
      </w:tr>
      <w:tr w14:paraId="11436076">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noWrap w:val="0"/>
            <w:vAlign w:val="center"/>
          </w:tcPr>
          <w:p w14:paraId="2D6A7AC6">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2206" w:type="dxa"/>
            <w:tcBorders>
              <w:top w:val="nil"/>
              <w:left w:val="nil"/>
              <w:bottom w:val="single" w:color="auto" w:sz="8" w:space="0"/>
              <w:right w:val="single" w:color="auto" w:sz="8" w:space="0"/>
            </w:tcBorders>
            <w:noWrap w:val="0"/>
            <w:vAlign w:val="center"/>
          </w:tcPr>
          <w:p w14:paraId="495DBA8B">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本年制发件数</w:t>
            </w:r>
          </w:p>
        </w:tc>
        <w:tc>
          <w:tcPr>
            <w:tcW w:w="2206" w:type="dxa"/>
            <w:tcBorders>
              <w:top w:val="nil"/>
              <w:left w:val="nil"/>
              <w:bottom w:val="single" w:color="auto" w:sz="8" w:space="0"/>
              <w:right w:val="single" w:color="auto" w:sz="8" w:space="0"/>
            </w:tcBorders>
            <w:noWrap w:val="0"/>
            <w:vAlign w:val="center"/>
          </w:tcPr>
          <w:p w14:paraId="37C71F1B">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本年废止件数</w:t>
            </w:r>
          </w:p>
        </w:tc>
        <w:tc>
          <w:tcPr>
            <w:tcW w:w="2206" w:type="dxa"/>
            <w:tcBorders>
              <w:top w:val="nil"/>
              <w:left w:val="nil"/>
              <w:bottom w:val="single" w:color="auto" w:sz="8" w:space="0"/>
              <w:right w:val="single" w:color="auto" w:sz="8" w:space="0"/>
            </w:tcBorders>
            <w:noWrap w:val="0"/>
            <w:vAlign w:val="center"/>
          </w:tcPr>
          <w:p w14:paraId="7DA480E0">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现行有效件数</w:t>
            </w:r>
          </w:p>
        </w:tc>
      </w:tr>
      <w:tr w14:paraId="6B428636">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noWrap w:val="0"/>
            <w:vAlign w:val="center"/>
          </w:tcPr>
          <w:p w14:paraId="0CD01BFB">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规章</w:t>
            </w:r>
          </w:p>
        </w:tc>
        <w:tc>
          <w:tcPr>
            <w:tcW w:w="2206" w:type="dxa"/>
            <w:tcBorders>
              <w:top w:val="nil"/>
              <w:left w:val="nil"/>
              <w:bottom w:val="single" w:color="auto" w:sz="8" w:space="0"/>
              <w:right w:val="single" w:color="auto" w:sz="8" w:space="0"/>
            </w:tcBorders>
            <w:noWrap w:val="0"/>
            <w:vAlign w:val="center"/>
          </w:tcPr>
          <w:p w14:paraId="3D5A3BD6">
            <w:pPr>
              <w:widowControl/>
              <w:jc w:val="center"/>
              <w:rPr>
                <w:rFonts w:hint="eastAsia" w:ascii="仿宋_GB2312" w:hAnsi="宋体" w:eastAsia="仿宋_GB2312" w:cs="宋体"/>
                <w:color w:val="000000" w:themeColor="text1"/>
                <w:kern w:val="0"/>
                <w:szCs w:val="21"/>
                <w:lang w:eastAsia="zh-CN"/>
                <w14:textFill>
                  <w14:solidFill>
                    <w14:schemeClr w14:val="tx1"/>
                  </w14:solidFill>
                </w14:textFill>
              </w:rPr>
            </w:pPr>
            <w:r>
              <w:rPr>
                <w:rFonts w:hint="eastAsia" w:ascii="仿宋_GB2312" w:hAnsi="宋体" w:eastAsia="仿宋_GB2312" w:cs="宋体"/>
                <w:color w:val="000000" w:themeColor="text1"/>
                <w:kern w:val="0"/>
                <w:szCs w:val="21"/>
                <w:lang w:val="en-US" w:eastAsia="zh-CN"/>
                <w14:textFill>
                  <w14:solidFill>
                    <w14:schemeClr w14:val="tx1"/>
                  </w14:solidFill>
                </w14:textFill>
              </w:rPr>
              <w:t>0</w:t>
            </w:r>
          </w:p>
        </w:tc>
        <w:tc>
          <w:tcPr>
            <w:tcW w:w="2206" w:type="dxa"/>
            <w:tcBorders>
              <w:top w:val="nil"/>
              <w:left w:val="nil"/>
              <w:bottom w:val="single" w:color="auto" w:sz="8" w:space="0"/>
              <w:right w:val="single" w:color="auto" w:sz="8" w:space="0"/>
            </w:tcBorders>
            <w:noWrap w:val="0"/>
            <w:vAlign w:val="center"/>
          </w:tcPr>
          <w:p w14:paraId="11EEA870">
            <w:pPr>
              <w:widowControl/>
              <w:jc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lang w:val="en-US" w:eastAsia="zh-CN"/>
                <w14:textFill>
                  <w14:solidFill>
                    <w14:schemeClr w14:val="tx1"/>
                  </w14:solidFill>
                </w14:textFill>
              </w:rPr>
              <w:t>0</w:t>
            </w:r>
          </w:p>
        </w:tc>
        <w:tc>
          <w:tcPr>
            <w:tcW w:w="2206" w:type="dxa"/>
            <w:tcBorders>
              <w:top w:val="nil"/>
              <w:left w:val="nil"/>
              <w:bottom w:val="single" w:color="auto" w:sz="8" w:space="0"/>
              <w:right w:val="single" w:color="auto" w:sz="8" w:space="0"/>
            </w:tcBorders>
            <w:noWrap w:val="0"/>
            <w:vAlign w:val="center"/>
          </w:tcPr>
          <w:p w14:paraId="7F82BD67">
            <w:pPr>
              <w:widowControl/>
              <w:jc w:val="center"/>
              <w:rPr>
                <w:rFonts w:ascii="仿宋_GB2312" w:hAnsi="Calibri" w:eastAsia="仿宋_GB2312" w:cs="Calibri"/>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lang w:val="en-US" w:eastAsia="zh-CN"/>
                <w14:textFill>
                  <w14:solidFill>
                    <w14:schemeClr w14:val="tx1"/>
                  </w14:solidFill>
                </w14:textFill>
              </w:rPr>
              <w:t>0</w:t>
            </w:r>
          </w:p>
        </w:tc>
      </w:tr>
      <w:tr w14:paraId="7277DE47">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noWrap w:val="0"/>
            <w:vAlign w:val="center"/>
          </w:tcPr>
          <w:p w14:paraId="2B0F1955">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行政规范性文件</w:t>
            </w:r>
          </w:p>
        </w:tc>
        <w:tc>
          <w:tcPr>
            <w:tcW w:w="2206" w:type="dxa"/>
            <w:tcBorders>
              <w:top w:val="nil"/>
              <w:left w:val="nil"/>
              <w:bottom w:val="single" w:color="auto" w:sz="8" w:space="0"/>
              <w:right w:val="single" w:color="auto" w:sz="8" w:space="0"/>
            </w:tcBorders>
            <w:noWrap w:val="0"/>
            <w:vAlign w:val="center"/>
          </w:tcPr>
          <w:p w14:paraId="494592DE">
            <w:pPr>
              <w:widowControl/>
              <w:jc w:val="center"/>
              <w:rPr>
                <w:rFonts w:hint="default" w:ascii="仿宋_GB2312" w:hAnsi="宋体" w:eastAsia="仿宋_GB2312" w:cs="宋体"/>
                <w:color w:val="000000" w:themeColor="text1"/>
                <w:kern w:val="0"/>
                <w:sz w:val="21"/>
                <w:szCs w:val="21"/>
                <w:lang w:val="en-US" w:eastAsia="zh-CN" w:bidi="ar-SA"/>
                <w14:textFill>
                  <w14:solidFill>
                    <w14:schemeClr w14:val="tx1"/>
                  </w14:solidFill>
                </w14:textFill>
              </w:rPr>
            </w:pPr>
            <w:r>
              <w:rPr>
                <w:rFonts w:hint="eastAsia" w:ascii="仿宋_GB2312" w:hAnsi="宋体" w:eastAsia="仿宋_GB2312" w:cs="宋体"/>
                <w:color w:val="000000" w:themeColor="text1"/>
                <w:kern w:val="0"/>
                <w:szCs w:val="21"/>
                <w:lang w:val="en-US" w:eastAsia="zh-CN"/>
                <w14:textFill>
                  <w14:solidFill>
                    <w14:schemeClr w14:val="tx1"/>
                  </w14:solidFill>
                </w14:textFill>
              </w:rPr>
              <w:t>0</w:t>
            </w:r>
          </w:p>
        </w:tc>
        <w:tc>
          <w:tcPr>
            <w:tcW w:w="2206" w:type="dxa"/>
            <w:tcBorders>
              <w:top w:val="nil"/>
              <w:left w:val="nil"/>
              <w:bottom w:val="single" w:color="auto" w:sz="8" w:space="0"/>
              <w:right w:val="single" w:color="auto" w:sz="8" w:space="0"/>
            </w:tcBorders>
            <w:noWrap w:val="0"/>
            <w:vAlign w:val="center"/>
          </w:tcPr>
          <w:p w14:paraId="5D6B1983">
            <w:pPr>
              <w:widowControl/>
              <w:jc w:val="center"/>
              <w:rPr>
                <w:rFonts w:hint="default" w:ascii="仿宋_GB2312" w:hAnsi="宋体" w:eastAsia="仿宋_GB2312" w:cs="宋体"/>
                <w:color w:val="000000" w:themeColor="text1"/>
                <w:kern w:val="0"/>
                <w:sz w:val="21"/>
                <w:szCs w:val="21"/>
                <w:lang w:val="en-US" w:eastAsia="zh-CN" w:bidi="ar-SA"/>
                <w14:textFill>
                  <w14:solidFill>
                    <w14:schemeClr w14:val="tx1"/>
                  </w14:solidFill>
                </w14:textFill>
              </w:rPr>
            </w:pPr>
            <w:r>
              <w:rPr>
                <w:rFonts w:hint="eastAsia" w:ascii="仿宋_GB2312" w:hAnsi="宋体" w:eastAsia="仿宋_GB2312" w:cs="宋体"/>
                <w:color w:val="000000" w:themeColor="text1"/>
                <w:kern w:val="0"/>
                <w:szCs w:val="21"/>
                <w:lang w:val="en-US" w:eastAsia="zh-CN"/>
                <w14:textFill>
                  <w14:solidFill>
                    <w14:schemeClr w14:val="tx1"/>
                  </w14:solidFill>
                </w14:textFill>
              </w:rPr>
              <w:t>0</w:t>
            </w:r>
          </w:p>
        </w:tc>
        <w:tc>
          <w:tcPr>
            <w:tcW w:w="2206" w:type="dxa"/>
            <w:tcBorders>
              <w:top w:val="nil"/>
              <w:left w:val="nil"/>
              <w:bottom w:val="single" w:color="auto" w:sz="8" w:space="0"/>
              <w:right w:val="single" w:color="auto" w:sz="8" w:space="0"/>
            </w:tcBorders>
            <w:noWrap w:val="0"/>
            <w:vAlign w:val="center"/>
          </w:tcPr>
          <w:p w14:paraId="153D2F0D">
            <w:pPr>
              <w:widowControl/>
              <w:jc w:val="center"/>
              <w:rPr>
                <w:rFonts w:hint="eastAsia" w:ascii="仿宋_GB2312" w:hAnsi="Calibri" w:eastAsia="仿宋_GB2312" w:cs="Calibri"/>
                <w:color w:val="000000" w:themeColor="text1"/>
                <w:kern w:val="0"/>
                <w:sz w:val="21"/>
                <w:szCs w:val="21"/>
                <w:lang w:val="en-US" w:eastAsia="zh-CN" w:bidi="ar-SA"/>
                <w14:textFill>
                  <w14:solidFill>
                    <w14:schemeClr w14:val="tx1"/>
                  </w14:solidFill>
                </w14:textFill>
              </w:rPr>
            </w:pPr>
            <w:r>
              <w:rPr>
                <w:rFonts w:hint="eastAsia" w:ascii="仿宋_GB2312" w:hAnsi="宋体" w:eastAsia="仿宋_GB2312" w:cs="宋体"/>
                <w:color w:val="000000" w:themeColor="text1"/>
                <w:kern w:val="0"/>
                <w:szCs w:val="21"/>
                <w:lang w:val="en-US" w:eastAsia="zh-CN"/>
                <w14:textFill>
                  <w14:solidFill>
                    <w14:schemeClr w14:val="tx1"/>
                  </w14:solidFill>
                </w14:textFill>
              </w:rPr>
              <w:t>0</w:t>
            </w:r>
          </w:p>
        </w:tc>
      </w:tr>
      <w:tr w14:paraId="3F54FE72">
        <w:tblPrEx>
          <w:tblCellMar>
            <w:top w:w="0" w:type="dxa"/>
            <w:left w:w="108" w:type="dxa"/>
            <w:bottom w:w="0" w:type="dxa"/>
            <w:right w:w="108" w:type="dxa"/>
          </w:tblCellMar>
        </w:tblPrEx>
        <w:trPr>
          <w:trHeight w:val="567" w:hRule="atLeast"/>
          <w:jc w:val="center"/>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1B659B9F">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第二十条第（五）项</w:t>
            </w:r>
          </w:p>
        </w:tc>
      </w:tr>
      <w:tr w14:paraId="574A9EE2">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noWrap w:val="0"/>
            <w:vAlign w:val="center"/>
          </w:tcPr>
          <w:p w14:paraId="041C9737">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noWrap w:val="0"/>
            <w:vAlign w:val="center"/>
          </w:tcPr>
          <w:p w14:paraId="42632321">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14:paraId="07749EC7">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noWrap w:val="0"/>
            <w:vAlign w:val="center"/>
          </w:tcPr>
          <w:p w14:paraId="03E0103D">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行政许可</w:t>
            </w:r>
          </w:p>
        </w:tc>
        <w:tc>
          <w:tcPr>
            <w:tcW w:w="6618" w:type="dxa"/>
            <w:gridSpan w:val="3"/>
            <w:tcBorders>
              <w:top w:val="single" w:color="auto" w:sz="8" w:space="0"/>
              <w:left w:val="nil"/>
              <w:bottom w:val="single" w:color="auto" w:sz="8" w:space="0"/>
              <w:right w:val="single" w:color="000000" w:sz="8" w:space="0"/>
            </w:tcBorders>
            <w:noWrap w:val="0"/>
            <w:vAlign w:val="center"/>
          </w:tcPr>
          <w:p w14:paraId="1315AE7C">
            <w:pPr>
              <w:widowControl/>
              <w:jc w:val="center"/>
              <w:rPr>
                <w:rFonts w:hint="default" w:ascii="仿宋_GB2312" w:hAnsi="Calibri" w:eastAsia="仿宋_GB2312" w:cs="Calibri"/>
                <w:color w:val="000000"/>
                <w:kern w:val="0"/>
                <w:szCs w:val="21"/>
                <w:lang w:val="en-US" w:eastAsia="zh-CN"/>
              </w:rPr>
            </w:pPr>
            <w:r>
              <w:rPr>
                <w:rFonts w:hint="eastAsia" w:ascii="仿宋_GB2312" w:eastAsia="仿宋_GB2312" w:cs="Calibri"/>
                <w:color w:val="000000"/>
                <w:kern w:val="0"/>
                <w:szCs w:val="21"/>
                <w:lang w:val="en-US" w:eastAsia="zh-CN"/>
              </w:rPr>
              <w:t>0</w:t>
            </w:r>
          </w:p>
        </w:tc>
      </w:tr>
      <w:tr w14:paraId="66444FA1">
        <w:tblPrEx>
          <w:tblCellMar>
            <w:top w:w="0" w:type="dxa"/>
            <w:left w:w="108" w:type="dxa"/>
            <w:bottom w:w="0" w:type="dxa"/>
            <w:right w:w="108" w:type="dxa"/>
          </w:tblCellMar>
        </w:tblPrEx>
        <w:trPr>
          <w:trHeight w:val="567" w:hRule="atLeast"/>
          <w:jc w:val="center"/>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4AF906C8">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第二十条第（六）项</w:t>
            </w:r>
          </w:p>
        </w:tc>
      </w:tr>
      <w:tr w14:paraId="5F121F1D">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noWrap w:val="0"/>
            <w:vAlign w:val="center"/>
          </w:tcPr>
          <w:p w14:paraId="54CB52F9">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noWrap w:val="0"/>
            <w:vAlign w:val="center"/>
          </w:tcPr>
          <w:p w14:paraId="01BE520E">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14:paraId="00AAF8DA">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noWrap w:val="0"/>
            <w:vAlign w:val="center"/>
          </w:tcPr>
          <w:p w14:paraId="30379F0D">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行政处罚</w:t>
            </w:r>
          </w:p>
        </w:tc>
        <w:tc>
          <w:tcPr>
            <w:tcW w:w="6618" w:type="dxa"/>
            <w:gridSpan w:val="3"/>
            <w:tcBorders>
              <w:top w:val="single" w:color="auto" w:sz="8" w:space="0"/>
              <w:left w:val="nil"/>
              <w:bottom w:val="single" w:color="auto" w:sz="8" w:space="0"/>
              <w:right w:val="single" w:color="000000" w:sz="8" w:space="0"/>
            </w:tcBorders>
            <w:noWrap w:val="0"/>
            <w:vAlign w:val="center"/>
          </w:tcPr>
          <w:p w14:paraId="6A4AB2A5">
            <w:pPr>
              <w:widowControl/>
              <w:jc w:val="center"/>
              <w:rPr>
                <w:rFonts w:hint="default" w:ascii="仿宋_GB2312" w:hAnsi="Calibri" w:eastAsia="仿宋_GB2312" w:cs="Calibri"/>
                <w:color w:val="000000" w:themeColor="text1"/>
                <w:kern w:val="0"/>
                <w:szCs w:val="21"/>
                <w:lang w:val="en-US" w:eastAsia="zh-CN"/>
                <w14:textFill>
                  <w14:solidFill>
                    <w14:schemeClr w14:val="tx1"/>
                  </w14:solidFill>
                </w14:textFill>
              </w:rPr>
            </w:pPr>
            <w:r>
              <w:rPr>
                <w:rFonts w:hint="eastAsia" w:ascii="仿宋_GB2312" w:eastAsia="仿宋_GB2312" w:cs="Calibri"/>
                <w:color w:val="000000" w:themeColor="text1"/>
                <w:kern w:val="0"/>
                <w:szCs w:val="21"/>
                <w:lang w:val="en-US" w:eastAsia="zh-CN"/>
                <w14:textFill>
                  <w14:solidFill>
                    <w14:schemeClr w14:val="tx1"/>
                  </w14:solidFill>
                </w14:textFill>
              </w:rPr>
              <w:t>0</w:t>
            </w:r>
          </w:p>
        </w:tc>
      </w:tr>
      <w:tr w14:paraId="50DE99BE">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noWrap w:val="0"/>
            <w:vAlign w:val="center"/>
          </w:tcPr>
          <w:p w14:paraId="16C4E735">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行政强制</w:t>
            </w:r>
          </w:p>
        </w:tc>
        <w:tc>
          <w:tcPr>
            <w:tcW w:w="6618" w:type="dxa"/>
            <w:gridSpan w:val="3"/>
            <w:tcBorders>
              <w:top w:val="single" w:color="auto" w:sz="8" w:space="0"/>
              <w:left w:val="nil"/>
              <w:bottom w:val="single" w:color="auto" w:sz="8" w:space="0"/>
              <w:right w:val="single" w:color="000000" w:sz="8" w:space="0"/>
            </w:tcBorders>
            <w:noWrap w:val="0"/>
            <w:vAlign w:val="center"/>
          </w:tcPr>
          <w:p w14:paraId="0ECC1FA0">
            <w:pPr>
              <w:widowControl/>
              <w:jc w:val="center"/>
              <w:rPr>
                <w:rFonts w:hint="default" w:ascii="仿宋_GB2312" w:hAnsi="Calibri" w:eastAsia="仿宋_GB2312" w:cs="Calibri"/>
                <w:color w:val="000000" w:themeColor="text1"/>
                <w:kern w:val="0"/>
                <w:szCs w:val="21"/>
                <w:lang w:val="en-US" w:eastAsia="zh-CN"/>
                <w14:textFill>
                  <w14:solidFill>
                    <w14:schemeClr w14:val="tx1"/>
                  </w14:solidFill>
                </w14:textFill>
              </w:rPr>
            </w:pPr>
            <w:r>
              <w:rPr>
                <w:rFonts w:hint="eastAsia" w:ascii="仿宋_GB2312" w:eastAsia="仿宋_GB2312" w:cs="Calibri"/>
                <w:color w:val="000000" w:themeColor="text1"/>
                <w:kern w:val="0"/>
                <w:szCs w:val="21"/>
                <w:lang w:val="en-US" w:eastAsia="zh-CN"/>
                <w14:textFill>
                  <w14:solidFill>
                    <w14:schemeClr w14:val="tx1"/>
                  </w14:solidFill>
                </w14:textFill>
              </w:rPr>
              <w:t>0</w:t>
            </w:r>
          </w:p>
        </w:tc>
      </w:tr>
      <w:tr w14:paraId="2103170C">
        <w:tblPrEx>
          <w:tblCellMar>
            <w:top w:w="0" w:type="dxa"/>
            <w:left w:w="108" w:type="dxa"/>
            <w:bottom w:w="0" w:type="dxa"/>
            <w:right w:w="108" w:type="dxa"/>
          </w:tblCellMar>
        </w:tblPrEx>
        <w:trPr>
          <w:trHeight w:val="567" w:hRule="atLeast"/>
          <w:jc w:val="center"/>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173C74BC">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第二十条第（八）项</w:t>
            </w:r>
          </w:p>
        </w:tc>
      </w:tr>
      <w:tr w14:paraId="4836EA25">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noWrap w:val="0"/>
            <w:vAlign w:val="center"/>
          </w:tcPr>
          <w:p w14:paraId="13A2E490">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noWrap w:val="0"/>
            <w:vAlign w:val="center"/>
          </w:tcPr>
          <w:p w14:paraId="41967AD0">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本年收费金额（单位：万元）</w:t>
            </w:r>
          </w:p>
        </w:tc>
      </w:tr>
      <w:tr w14:paraId="154B129B">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noWrap w:val="0"/>
            <w:vAlign w:val="center"/>
          </w:tcPr>
          <w:p w14:paraId="2CA130A4">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行政事业性收费</w:t>
            </w:r>
          </w:p>
        </w:tc>
        <w:tc>
          <w:tcPr>
            <w:tcW w:w="6618" w:type="dxa"/>
            <w:gridSpan w:val="3"/>
            <w:tcBorders>
              <w:top w:val="single" w:color="auto" w:sz="8" w:space="0"/>
              <w:left w:val="nil"/>
              <w:bottom w:val="single" w:color="auto" w:sz="8" w:space="0"/>
              <w:right w:val="single" w:color="000000" w:sz="8" w:space="0"/>
            </w:tcBorders>
            <w:noWrap w:val="0"/>
            <w:vAlign w:val="center"/>
          </w:tcPr>
          <w:p w14:paraId="2B5083E9">
            <w:pPr>
              <w:widowControl/>
              <w:jc w:val="center"/>
              <w:rPr>
                <w:rFonts w:hint="default" w:ascii="仿宋_GB2312" w:hAnsi="Calibri" w:eastAsia="仿宋_GB2312" w:cs="Calibri"/>
                <w:color w:val="000000"/>
                <w:kern w:val="0"/>
                <w:szCs w:val="21"/>
                <w:lang w:val="en-US" w:eastAsia="zh-CN"/>
              </w:rPr>
            </w:pPr>
            <w:r>
              <w:rPr>
                <w:rFonts w:hint="eastAsia" w:ascii="仿宋_GB2312" w:eastAsia="仿宋_GB2312" w:cs="Calibri"/>
                <w:color w:val="000000"/>
                <w:kern w:val="0"/>
                <w:szCs w:val="21"/>
                <w:lang w:val="en-US" w:eastAsia="zh-CN"/>
              </w:rPr>
              <w:t>0</w:t>
            </w:r>
          </w:p>
        </w:tc>
      </w:tr>
    </w:tbl>
    <w:p w14:paraId="77516974">
      <w:pPr>
        <w:ind w:firstLine="640" w:firstLineChars="200"/>
        <w:rPr>
          <w:rFonts w:hint="eastAsia" w:ascii="黑体" w:hAnsi="黑体" w:eastAsia="黑体" w:cs="黑体"/>
          <w:b w:val="0"/>
          <w:bCs/>
          <w:i w:val="0"/>
          <w:caps w:val="0"/>
          <w:color w:val="333333"/>
          <w:spacing w:val="0"/>
          <w:kern w:val="0"/>
          <w:sz w:val="32"/>
          <w:szCs w:val="32"/>
          <w:shd w:val="clear" w:color="auto" w:fill="FFFFFF"/>
          <w:lang w:val="en-US" w:eastAsia="zh-CN" w:bidi="ar"/>
        </w:rPr>
      </w:pPr>
      <w:r>
        <w:rPr>
          <w:rFonts w:hint="eastAsia" w:ascii="黑体" w:hAnsi="黑体" w:eastAsia="黑体" w:cs="黑体"/>
          <w:b w:val="0"/>
          <w:bCs/>
          <w:i w:val="0"/>
          <w:caps w:val="0"/>
          <w:color w:val="333333"/>
          <w:spacing w:val="0"/>
          <w:kern w:val="0"/>
          <w:sz w:val="32"/>
          <w:szCs w:val="32"/>
          <w:shd w:val="clear" w:color="auto" w:fill="FFFFFF"/>
          <w:lang w:val="en-US" w:eastAsia="zh-CN" w:bidi="ar"/>
        </w:rPr>
        <w:t>三、收到和处理政府信息公开申请情况</w:t>
      </w:r>
    </w:p>
    <w:tbl>
      <w:tblPr>
        <w:tblStyle w:val="3"/>
        <w:tblW w:w="954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747"/>
        <w:gridCol w:w="5"/>
        <w:gridCol w:w="535"/>
        <w:gridCol w:w="5"/>
        <w:gridCol w:w="535"/>
        <w:gridCol w:w="720"/>
        <w:gridCol w:w="675"/>
        <w:gridCol w:w="525"/>
        <w:gridCol w:w="1"/>
        <w:gridCol w:w="700"/>
      </w:tblGrid>
      <w:tr w14:paraId="17F1656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5093" w:type="dxa"/>
            <w:gridSpan w:val="3"/>
            <w:vMerge w:val="restart"/>
            <w:noWrap w:val="0"/>
            <w:tcMar>
              <w:left w:w="108" w:type="dxa"/>
              <w:right w:w="108" w:type="dxa"/>
            </w:tcMar>
            <w:vAlign w:val="center"/>
          </w:tcPr>
          <w:p w14:paraId="42046420">
            <w:pPr>
              <w:widowControl/>
              <w:ind w:firstLine="420" w:firstLineChars="200"/>
              <w:jc w:val="center"/>
              <w:rPr>
                <w:rFonts w:ascii="楷体_GB2312" w:hAnsi="黑体" w:eastAsia="楷体_GB2312"/>
                <w:kern w:val="0"/>
                <w:szCs w:val="21"/>
              </w:rPr>
            </w:pPr>
            <w:r>
              <w:rPr>
                <w:rFonts w:hint="eastAsia" w:ascii="楷体_GB2312" w:hAnsi="黑体" w:eastAsia="楷体_GB2312"/>
                <w:kern w:val="0"/>
                <w:szCs w:val="21"/>
              </w:rPr>
              <w:t>（本列数据的勾稽关系为：第一项加第二项之和，</w:t>
            </w:r>
          </w:p>
          <w:p w14:paraId="7882219E">
            <w:pPr>
              <w:widowControl/>
              <w:ind w:firstLine="420" w:firstLineChars="200"/>
              <w:jc w:val="center"/>
              <w:rPr>
                <w:rFonts w:ascii="仿宋_GB2312" w:hAnsi="Times New Roman" w:eastAsia="仿宋_GB2312"/>
                <w:szCs w:val="21"/>
              </w:rPr>
            </w:pPr>
            <w:r>
              <w:rPr>
                <w:rFonts w:hint="eastAsia" w:ascii="楷体_GB2312" w:hAnsi="黑体" w:eastAsia="楷体_GB2312"/>
                <w:kern w:val="0"/>
                <w:szCs w:val="21"/>
              </w:rPr>
              <w:t>等于第三项加第四项之和）</w:t>
            </w:r>
          </w:p>
        </w:tc>
        <w:tc>
          <w:tcPr>
            <w:tcW w:w="4448" w:type="dxa"/>
            <w:gridSpan w:val="10"/>
            <w:noWrap w:val="0"/>
            <w:tcMar>
              <w:left w:w="108" w:type="dxa"/>
              <w:right w:w="108" w:type="dxa"/>
            </w:tcMar>
            <w:vAlign w:val="center"/>
          </w:tcPr>
          <w:p w14:paraId="213469E6">
            <w:pPr>
              <w:widowControl/>
              <w:spacing w:line="320" w:lineRule="exact"/>
              <w:jc w:val="center"/>
              <w:rPr>
                <w:rFonts w:ascii="黑体" w:hAnsi="黑体" w:eastAsia="黑体"/>
                <w:szCs w:val="21"/>
              </w:rPr>
            </w:pPr>
            <w:r>
              <w:rPr>
                <w:rFonts w:hint="eastAsia" w:ascii="黑体" w:hAnsi="黑体" w:eastAsia="黑体"/>
                <w:kern w:val="0"/>
                <w:szCs w:val="21"/>
              </w:rPr>
              <w:t>申请人情况</w:t>
            </w:r>
          </w:p>
        </w:tc>
      </w:tr>
      <w:tr w14:paraId="29DCC7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93" w:type="dxa"/>
            <w:gridSpan w:val="3"/>
            <w:vMerge w:val="continue"/>
            <w:noWrap w:val="0"/>
            <w:tcMar>
              <w:left w:w="108" w:type="dxa"/>
              <w:right w:w="108" w:type="dxa"/>
            </w:tcMar>
            <w:vAlign w:val="center"/>
          </w:tcPr>
          <w:p w14:paraId="16286D70">
            <w:pPr>
              <w:jc w:val="center"/>
              <w:rPr>
                <w:rFonts w:ascii="仿宋_GB2312" w:hAnsi="Times New Roman" w:eastAsia="仿宋_GB2312"/>
                <w:szCs w:val="21"/>
              </w:rPr>
            </w:pPr>
          </w:p>
        </w:tc>
        <w:tc>
          <w:tcPr>
            <w:tcW w:w="747" w:type="dxa"/>
            <w:vMerge w:val="restart"/>
            <w:noWrap w:val="0"/>
            <w:tcMar>
              <w:left w:w="108" w:type="dxa"/>
              <w:right w:w="108" w:type="dxa"/>
            </w:tcMar>
            <w:vAlign w:val="center"/>
          </w:tcPr>
          <w:p w14:paraId="6AEEFE13">
            <w:pPr>
              <w:widowControl/>
              <w:jc w:val="center"/>
              <w:rPr>
                <w:rFonts w:ascii="黑体" w:hAnsi="黑体" w:eastAsia="黑体"/>
                <w:szCs w:val="21"/>
              </w:rPr>
            </w:pPr>
            <w:r>
              <w:rPr>
                <w:rFonts w:hint="eastAsia" w:ascii="黑体" w:hAnsi="黑体" w:eastAsia="黑体"/>
                <w:kern w:val="0"/>
                <w:szCs w:val="21"/>
              </w:rPr>
              <w:t>自然人</w:t>
            </w:r>
          </w:p>
        </w:tc>
        <w:tc>
          <w:tcPr>
            <w:tcW w:w="3000" w:type="dxa"/>
            <w:gridSpan w:val="7"/>
            <w:noWrap w:val="0"/>
            <w:tcMar>
              <w:left w:w="108" w:type="dxa"/>
              <w:right w:w="108" w:type="dxa"/>
            </w:tcMar>
            <w:vAlign w:val="center"/>
          </w:tcPr>
          <w:p w14:paraId="06C76A2B">
            <w:pPr>
              <w:widowControl/>
              <w:spacing w:line="320" w:lineRule="exact"/>
              <w:jc w:val="center"/>
              <w:rPr>
                <w:rFonts w:ascii="黑体" w:hAnsi="黑体" w:eastAsia="黑体"/>
                <w:szCs w:val="21"/>
              </w:rPr>
            </w:pPr>
            <w:r>
              <w:rPr>
                <w:rFonts w:hint="eastAsia" w:ascii="黑体" w:hAnsi="黑体" w:eastAsia="黑体"/>
                <w:kern w:val="0"/>
                <w:szCs w:val="21"/>
              </w:rPr>
              <w:t>法人或其他组织</w:t>
            </w:r>
          </w:p>
        </w:tc>
        <w:tc>
          <w:tcPr>
            <w:tcW w:w="701" w:type="dxa"/>
            <w:gridSpan w:val="2"/>
            <w:vMerge w:val="restart"/>
            <w:noWrap w:val="0"/>
            <w:tcMar>
              <w:left w:w="108" w:type="dxa"/>
              <w:right w:w="108" w:type="dxa"/>
            </w:tcMar>
            <w:vAlign w:val="center"/>
          </w:tcPr>
          <w:p w14:paraId="3CB56F81">
            <w:pPr>
              <w:widowControl/>
              <w:jc w:val="center"/>
              <w:rPr>
                <w:rFonts w:ascii="黑体" w:hAnsi="黑体" w:eastAsia="黑体"/>
                <w:szCs w:val="21"/>
              </w:rPr>
            </w:pPr>
            <w:r>
              <w:rPr>
                <w:rFonts w:hint="eastAsia" w:ascii="黑体" w:hAnsi="黑体" w:eastAsia="黑体"/>
                <w:kern w:val="0"/>
                <w:szCs w:val="21"/>
              </w:rPr>
              <w:t>总计</w:t>
            </w:r>
          </w:p>
        </w:tc>
      </w:tr>
      <w:tr w14:paraId="1D41B4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5093" w:type="dxa"/>
            <w:gridSpan w:val="3"/>
            <w:vMerge w:val="continue"/>
            <w:noWrap w:val="0"/>
            <w:tcMar>
              <w:left w:w="108" w:type="dxa"/>
              <w:right w:w="108" w:type="dxa"/>
            </w:tcMar>
            <w:vAlign w:val="center"/>
          </w:tcPr>
          <w:p w14:paraId="35E0C00C">
            <w:pPr>
              <w:jc w:val="center"/>
              <w:rPr>
                <w:rFonts w:ascii="仿宋_GB2312" w:hAnsi="Times New Roman" w:eastAsia="仿宋_GB2312"/>
                <w:szCs w:val="21"/>
              </w:rPr>
            </w:pPr>
          </w:p>
        </w:tc>
        <w:tc>
          <w:tcPr>
            <w:tcW w:w="747" w:type="dxa"/>
            <w:vMerge w:val="continue"/>
            <w:noWrap w:val="0"/>
            <w:tcMar>
              <w:left w:w="108" w:type="dxa"/>
              <w:right w:w="108" w:type="dxa"/>
            </w:tcMar>
            <w:vAlign w:val="center"/>
          </w:tcPr>
          <w:p w14:paraId="799D37C6">
            <w:pPr>
              <w:jc w:val="center"/>
              <w:rPr>
                <w:rFonts w:ascii="黑体" w:hAnsi="黑体" w:eastAsia="黑体"/>
                <w:szCs w:val="21"/>
              </w:rPr>
            </w:pPr>
          </w:p>
        </w:tc>
        <w:tc>
          <w:tcPr>
            <w:tcW w:w="540" w:type="dxa"/>
            <w:gridSpan w:val="2"/>
            <w:noWrap w:val="0"/>
            <w:tcMar>
              <w:left w:w="108" w:type="dxa"/>
              <w:right w:w="108" w:type="dxa"/>
            </w:tcMar>
            <w:vAlign w:val="center"/>
          </w:tcPr>
          <w:p w14:paraId="1CD694DC">
            <w:pPr>
              <w:widowControl/>
              <w:spacing w:line="320" w:lineRule="exact"/>
              <w:ind w:left="-106" w:leftChars="-51" w:right="-107" w:rightChars="-51" w:hanging="1"/>
              <w:jc w:val="center"/>
              <w:rPr>
                <w:rFonts w:ascii="黑体" w:hAnsi="黑体" w:eastAsia="黑体"/>
                <w:szCs w:val="21"/>
              </w:rPr>
            </w:pPr>
            <w:r>
              <w:rPr>
                <w:rFonts w:hint="eastAsia" w:ascii="黑体" w:hAnsi="黑体" w:eastAsia="黑体"/>
                <w:kern w:val="0"/>
                <w:szCs w:val="21"/>
              </w:rPr>
              <w:t>商业企业</w:t>
            </w:r>
          </w:p>
        </w:tc>
        <w:tc>
          <w:tcPr>
            <w:tcW w:w="540" w:type="dxa"/>
            <w:gridSpan w:val="2"/>
            <w:noWrap w:val="0"/>
            <w:tcMar>
              <w:left w:w="108" w:type="dxa"/>
              <w:right w:w="108" w:type="dxa"/>
            </w:tcMar>
            <w:vAlign w:val="center"/>
          </w:tcPr>
          <w:p w14:paraId="260C9C87">
            <w:pPr>
              <w:widowControl/>
              <w:spacing w:line="320" w:lineRule="exact"/>
              <w:ind w:left="-107" w:leftChars="-51" w:right="-107" w:rightChars="-51"/>
              <w:jc w:val="center"/>
              <w:rPr>
                <w:rFonts w:ascii="黑体" w:hAnsi="黑体" w:eastAsia="黑体"/>
                <w:szCs w:val="21"/>
              </w:rPr>
            </w:pPr>
            <w:r>
              <w:rPr>
                <w:rFonts w:hint="eastAsia" w:ascii="黑体" w:hAnsi="黑体" w:eastAsia="黑体"/>
                <w:kern w:val="0"/>
                <w:szCs w:val="21"/>
              </w:rPr>
              <w:t>科研机构</w:t>
            </w:r>
          </w:p>
        </w:tc>
        <w:tc>
          <w:tcPr>
            <w:tcW w:w="720" w:type="dxa"/>
            <w:noWrap w:val="0"/>
            <w:tcMar>
              <w:left w:w="108" w:type="dxa"/>
              <w:right w:w="108" w:type="dxa"/>
            </w:tcMar>
            <w:vAlign w:val="center"/>
          </w:tcPr>
          <w:p w14:paraId="5908D10B">
            <w:pPr>
              <w:widowControl/>
              <w:spacing w:line="320" w:lineRule="exact"/>
              <w:ind w:left="-107" w:leftChars="-51" w:right="-107" w:rightChars="-51"/>
              <w:jc w:val="center"/>
              <w:rPr>
                <w:rFonts w:ascii="黑体" w:hAnsi="黑体" w:eastAsia="黑体"/>
                <w:szCs w:val="21"/>
              </w:rPr>
            </w:pPr>
            <w:r>
              <w:rPr>
                <w:rFonts w:hint="eastAsia" w:ascii="黑体" w:hAnsi="黑体" w:eastAsia="黑体"/>
                <w:kern w:val="0"/>
                <w:szCs w:val="21"/>
              </w:rPr>
              <w:t>社会公益组织</w:t>
            </w:r>
          </w:p>
        </w:tc>
        <w:tc>
          <w:tcPr>
            <w:tcW w:w="675" w:type="dxa"/>
            <w:noWrap w:val="0"/>
            <w:tcMar>
              <w:left w:w="108" w:type="dxa"/>
              <w:right w:w="108" w:type="dxa"/>
            </w:tcMar>
            <w:vAlign w:val="center"/>
          </w:tcPr>
          <w:p w14:paraId="5AF1A104">
            <w:pPr>
              <w:widowControl/>
              <w:spacing w:line="320" w:lineRule="exact"/>
              <w:ind w:left="-106" w:leftChars="-51" w:right="-107" w:rightChars="-51" w:hanging="1"/>
              <w:jc w:val="center"/>
              <w:rPr>
                <w:rFonts w:ascii="黑体" w:hAnsi="黑体" w:eastAsia="黑体"/>
                <w:szCs w:val="21"/>
              </w:rPr>
            </w:pPr>
            <w:r>
              <w:rPr>
                <w:rFonts w:hint="eastAsia" w:ascii="黑体" w:hAnsi="黑体" w:eastAsia="黑体"/>
                <w:kern w:val="0"/>
                <w:szCs w:val="21"/>
              </w:rPr>
              <w:t>法律服务机构</w:t>
            </w:r>
          </w:p>
        </w:tc>
        <w:tc>
          <w:tcPr>
            <w:tcW w:w="525" w:type="dxa"/>
            <w:noWrap w:val="0"/>
            <w:tcMar>
              <w:left w:w="108" w:type="dxa"/>
              <w:right w:w="108" w:type="dxa"/>
            </w:tcMar>
            <w:vAlign w:val="center"/>
          </w:tcPr>
          <w:p w14:paraId="063F0215">
            <w:pPr>
              <w:widowControl/>
              <w:spacing w:line="360" w:lineRule="exact"/>
              <w:ind w:left="-63" w:leftChars="-30" w:right="-134" w:rightChars="-64"/>
              <w:jc w:val="center"/>
              <w:rPr>
                <w:rFonts w:ascii="黑体" w:hAnsi="黑体" w:eastAsia="黑体"/>
                <w:szCs w:val="21"/>
              </w:rPr>
            </w:pPr>
            <w:r>
              <w:rPr>
                <w:rFonts w:hint="eastAsia" w:ascii="黑体" w:hAnsi="黑体" w:eastAsia="黑体"/>
                <w:kern w:val="0"/>
                <w:szCs w:val="21"/>
              </w:rPr>
              <w:t>其他</w:t>
            </w:r>
          </w:p>
        </w:tc>
        <w:tc>
          <w:tcPr>
            <w:tcW w:w="701" w:type="dxa"/>
            <w:gridSpan w:val="2"/>
            <w:vMerge w:val="continue"/>
            <w:noWrap w:val="0"/>
            <w:tcMar>
              <w:left w:w="108" w:type="dxa"/>
              <w:right w:w="108" w:type="dxa"/>
            </w:tcMar>
            <w:vAlign w:val="center"/>
          </w:tcPr>
          <w:p w14:paraId="1D2AE420">
            <w:pPr>
              <w:jc w:val="center"/>
              <w:rPr>
                <w:rFonts w:ascii="仿宋_GB2312" w:hAnsi="Times New Roman" w:eastAsia="仿宋_GB2312"/>
                <w:szCs w:val="21"/>
              </w:rPr>
            </w:pPr>
          </w:p>
        </w:tc>
      </w:tr>
      <w:tr w14:paraId="1D8D7A6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noWrap w:val="0"/>
            <w:tcMar>
              <w:left w:w="108" w:type="dxa"/>
              <w:right w:w="108" w:type="dxa"/>
            </w:tcMar>
            <w:vAlign w:val="center"/>
          </w:tcPr>
          <w:p w14:paraId="0658A8BE">
            <w:pPr>
              <w:widowControl/>
              <w:rPr>
                <w:rFonts w:ascii="黑体" w:hAnsi="黑体" w:eastAsia="黑体"/>
                <w:szCs w:val="21"/>
              </w:rPr>
            </w:pPr>
            <w:r>
              <w:rPr>
                <w:rFonts w:hint="eastAsia" w:ascii="黑体" w:hAnsi="黑体" w:eastAsia="黑体"/>
                <w:kern w:val="0"/>
                <w:szCs w:val="21"/>
              </w:rPr>
              <w:t>一、</w:t>
            </w:r>
            <w:bookmarkStart w:id="0" w:name="_Hlk66973412"/>
            <w:r>
              <w:rPr>
                <w:rFonts w:hint="eastAsia" w:ascii="黑体" w:hAnsi="黑体" w:eastAsia="黑体"/>
                <w:kern w:val="0"/>
                <w:szCs w:val="21"/>
              </w:rPr>
              <w:t>本年新收政府信息公开申请数量</w:t>
            </w:r>
            <w:bookmarkEnd w:id="0"/>
          </w:p>
        </w:tc>
        <w:tc>
          <w:tcPr>
            <w:tcW w:w="747" w:type="dxa"/>
            <w:noWrap w:val="0"/>
            <w:tcMar>
              <w:left w:w="108" w:type="dxa"/>
              <w:right w:w="108" w:type="dxa"/>
            </w:tcMar>
            <w:vAlign w:val="center"/>
          </w:tcPr>
          <w:p w14:paraId="5F0983F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40" w:type="dxa"/>
            <w:gridSpan w:val="2"/>
            <w:noWrap w:val="0"/>
            <w:tcMar>
              <w:left w:w="108" w:type="dxa"/>
              <w:right w:w="108" w:type="dxa"/>
            </w:tcMar>
            <w:vAlign w:val="center"/>
          </w:tcPr>
          <w:p w14:paraId="7102BE0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40" w:type="dxa"/>
            <w:gridSpan w:val="2"/>
            <w:noWrap w:val="0"/>
            <w:tcMar>
              <w:left w:w="108" w:type="dxa"/>
              <w:right w:w="108" w:type="dxa"/>
            </w:tcMar>
            <w:vAlign w:val="center"/>
          </w:tcPr>
          <w:p w14:paraId="1E92165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20" w:type="dxa"/>
            <w:noWrap w:val="0"/>
            <w:tcMar>
              <w:left w:w="108" w:type="dxa"/>
              <w:right w:w="108" w:type="dxa"/>
            </w:tcMar>
            <w:vAlign w:val="center"/>
          </w:tcPr>
          <w:p w14:paraId="2878B56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675" w:type="dxa"/>
            <w:noWrap w:val="0"/>
            <w:tcMar>
              <w:left w:w="108" w:type="dxa"/>
              <w:right w:w="108" w:type="dxa"/>
            </w:tcMar>
            <w:vAlign w:val="center"/>
          </w:tcPr>
          <w:p w14:paraId="5F47848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25" w:type="dxa"/>
            <w:noWrap w:val="0"/>
            <w:tcMar>
              <w:left w:w="108" w:type="dxa"/>
              <w:right w:w="108" w:type="dxa"/>
            </w:tcMar>
            <w:vAlign w:val="center"/>
          </w:tcPr>
          <w:p w14:paraId="411B48A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01" w:type="dxa"/>
            <w:gridSpan w:val="2"/>
            <w:noWrap w:val="0"/>
            <w:tcMar>
              <w:left w:w="108" w:type="dxa"/>
              <w:right w:w="108" w:type="dxa"/>
            </w:tcMar>
            <w:vAlign w:val="center"/>
          </w:tcPr>
          <w:p w14:paraId="545CB13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r>
      <w:tr w14:paraId="4547401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noWrap w:val="0"/>
            <w:tcMar>
              <w:left w:w="108" w:type="dxa"/>
              <w:right w:w="108" w:type="dxa"/>
            </w:tcMar>
            <w:vAlign w:val="center"/>
          </w:tcPr>
          <w:p w14:paraId="7B83B9F7">
            <w:pPr>
              <w:widowControl/>
              <w:rPr>
                <w:rFonts w:ascii="黑体" w:hAnsi="黑体" w:eastAsia="黑体"/>
                <w:szCs w:val="21"/>
              </w:rPr>
            </w:pPr>
            <w:r>
              <w:rPr>
                <w:rFonts w:hint="eastAsia" w:ascii="黑体" w:hAnsi="黑体" w:eastAsia="黑体"/>
                <w:kern w:val="0"/>
                <w:szCs w:val="21"/>
              </w:rPr>
              <w:t>二、上年结转政府信息公开申请数量</w:t>
            </w:r>
          </w:p>
        </w:tc>
        <w:tc>
          <w:tcPr>
            <w:tcW w:w="747" w:type="dxa"/>
            <w:noWrap w:val="0"/>
            <w:tcMar>
              <w:left w:w="108" w:type="dxa"/>
              <w:right w:w="108" w:type="dxa"/>
            </w:tcMar>
            <w:vAlign w:val="center"/>
          </w:tcPr>
          <w:p w14:paraId="594C9AB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40" w:type="dxa"/>
            <w:gridSpan w:val="2"/>
            <w:noWrap w:val="0"/>
            <w:tcMar>
              <w:left w:w="108" w:type="dxa"/>
              <w:right w:w="108" w:type="dxa"/>
            </w:tcMar>
            <w:vAlign w:val="center"/>
          </w:tcPr>
          <w:p w14:paraId="403985D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40" w:type="dxa"/>
            <w:gridSpan w:val="2"/>
            <w:noWrap w:val="0"/>
            <w:tcMar>
              <w:left w:w="108" w:type="dxa"/>
              <w:right w:w="108" w:type="dxa"/>
            </w:tcMar>
            <w:vAlign w:val="center"/>
          </w:tcPr>
          <w:p w14:paraId="1EF0872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20" w:type="dxa"/>
            <w:noWrap w:val="0"/>
            <w:tcMar>
              <w:left w:w="108" w:type="dxa"/>
              <w:right w:w="108" w:type="dxa"/>
            </w:tcMar>
            <w:vAlign w:val="center"/>
          </w:tcPr>
          <w:p w14:paraId="0A5067E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675" w:type="dxa"/>
            <w:noWrap w:val="0"/>
            <w:tcMar>
              <w:left w:w="108" w:type="dxa"/>
              <w:right w:w="108" w:type="dxa"/>
            </w:tcMar>
            <w:vAlign w:val="center"/>
          </w:tcPr>
          <w:p w14:paraId="188676D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25" w:type="dxa"/>
            <w:noWrap w:val="0"/>
            <w:tcMar>
              <w:left w:w="108" w:type="dxa"/>
              <w:right w:w="108" w:type="dxa"/>
            </w:tcMar>
            <w:vAlign w:val="center"/>
          </w:tcPr>
          <w:p w14:paraId="136B08D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01" w:type="dxa"/>
            <w:gridSpan w:val="2"/>
            <w:noWrap w:val="0"/>
            <w:tcMar>
              <w:left w:w="108" w:type="dxa"/>
              <w:right w:w="108" w:type="dxa"/>
            </w:tcMar>
            <w:vAlign w:val="center"/>
          </w:tcPr>
          <w:p w14:paraId="7C68E79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r>
      <w:tr w14:paraId="77C0B55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restart"/>
            <w:noWrap w:val="0"/>
            <w:tcMar>
              <w:left w:w="108" w:type="dxa"/>
              <w:right w:w="108" w:type="dxa"/>
            </w:tcMar>
            <w:vAlign w:val="center"/>
          </w:tcPr>
          <w:p w14:paraId="249A08B8">
            <w:pPr>
              <w:widowControl/>
              <w:spacing w:after="180"/>
              <w:rPr>
                <w:rFonts w:ascii="黑体" w:hAnsi="黑体" w:eastAsia="黑体"/>
                <w:szCs w:val="21"/>
              </w:rPr>
            </w:pPr>
            <w:r>
              <w:rPr>
                <w:rFonts w:hint="eastAsia" w:ascii="黑体" w:hAnsi="黑体" w:eastAsia="黑体"/>
                <w:kern w:val="0"/>
                <w:szCs w:val="21"/>
              </w:rPr>
              <w:t>三、本年度办理结果</w:t>
            </w:r>
          </w:p>
        </w:tc>
        <w:tc>
          <w:tcPr>
            <w:tcW w:w="4677" w:type="dxa"/>
            <w:gridSpan w:val="2"/>
            <w:noWrap w:val="0"/>
            <w:tcMar>
              <w:left w:w="108" w:type="dxa"/>
              <w:right w:w="108" w:type="dxa"/>
            </w:tcMar>
            <w:vAlign w:val="center"/>
          </w:tcPr>
          <w:p w14:paraId="0994436A">
            <w:pPr>
              <w:widowControl/>
              <w:rPr>
                <w:rFonts w:ascii="黑体" w:hAnsi="黑体" w:eastAsia="黑体"/>
                <w:szCs w:val="21"/>
              </w:rPr>
            </w:pPr>
            <w:r>
              <w:rPr>
                <w:rFonts w:hint="eastAsia" w:ascii="黑体" w:hAnsi="黑体" w:eastAsia="黑体"/>
                <w:kern w:val="0"/>
                <w:szCs w:val="21"/>
              </w:rPr>
              <w:t>（一）予以公开</w:t>
            </w:r>
          </w:p>
        </w:tc>
        <w:tc>
          <w:tcPr>
            <w:tcW w:w="752" w:type="dxa"/>
            <w:gridSpan w:val="2"/>
            <w:noWrap w:val="0"/>
            <w:tcMar>
              <w:left w:w="108" w:type="dxa"/>
              <w:right w:w="108" w:type="dxa"/>
            </w:tcMar>
            <w:vAlign w:val="center"/>
          </w:tcPr>
          <w:p w14:paraId="3A4F4CD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40" w:type="dxa"/>
            <w:gridSpan w:val="2"/>
            <w:noWrap w:val="0"/>
            <w:tcMar>
              <w:left w:w="108" w:type="dxa"/>
              <w:right w:w="108" w:type="dxa"/>
            </w:tcMar>
            <w:vAlign w:val="center"/>
          </w:tcPr>
          <w:p w14:paraId="3D6FB62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35" w:type="dxa"/>
            <w:noWrap w:val="0"/>
            <w:tcMar>
              <w:left w:w="108" w:type="dxa"/>
              <w:right w:w="108" w:type="dxa"/>
            </w:tcMar>
            <w:vAlign w:val="center"/>
          </w:tcPr>
          <w:p w14:paraId="24CFD12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20" w:type="dxa"/>
            <w:noWrap w:val="0"/>
            <w:tcMar>
              <w:left w:w="108" w:type="dxa"/>
              <w:right w:w="108" w:type="dxa"/>
            </w:tcMar>
            <w:vAlign w:val="center"/>
          </w:tcPr>
          <w:p w14:paraId="7F769E4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675" w:type="dxa"/>
            <w:noWrap w:val="0"/>
            <w:tcMar>
              <w:left w:w="108" w:type="dxa"/>
              <w:right w:w="108" w:type="dxa"/>
            </w:tcMar>
            <w:vAlign w:val="center"/>
          </w:tcPr>
          <w:p w14:paraId="63E30FF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26" w:type="dxa"/>
            <w:gridSpan w:val="2"/>
            <w:noWrap w:val="0"/>
            <w:tcMar>
              <w:left w:w="108" w:type="dxa"/>
              <w:right w:w="108" w:type="dxa"/>
            </w:tcMar>
            <w:vAlign w:val="center"/>
          </w:tcPr>
          <w:p w14:paraId="75B2A09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00" w:type="dxa"/>
            <w:noWrap w:val="0"/>
            <w:tcMar>
              <w:left w:w="108" w:type="dxa"/>
              <w:right w:w="108" w:type="dxa"/>
            </w:tcMar>
            <w:vAlign w:val="center"/>
          </w:tcPr>
          <w:p w14:paraId="5148267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r>
      <w:tr w14:paraId="74F847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105EF425">
            <w:pPr>
              <w:rPr>
                <w:rFonts w:ascii="黑体" w:hAnsi="黑体" w:eastAsia="黑体"/>
                <w:szCs w:val="21"/>
              </w:rPr>
            </w:pPr>
          </w:p>
        </w:tc>
        <w:tc>
          <w:tcPr>
            <w:tcW w:w="4677" w:type="dxa"/>
            <w:gridSpan w:val="2"/>
            <w:noWrap w:val="0"/>
            <w:tcMar>
              <w:left w:w="108" w:type="dxa"/>
              <w:right w:w="108" w:type="dxa"/>
            </w:tcMar>
            <w:vAlign w:val="center"/>
          </w:tcPr>
          <w:p w14:paraId="25F35E36">
            <w:pPr>
              <w:widowControl/>
              <w:rPr>
                <w:rFonts w:ascii="黑体" w:hAnsi="黑体" w:eastAsia="黑体"/>
                <w:szCs w:val="21"/>
              </w:rPr>
            </w:pPr>
            <w:r>
              <w:rPr>
                <w:rFonts w:hint="eastAsia" w:ascii="黑体" w:hAnsi="黑体" w:eastAsia="黑体"/>
                <w:kern w:val="0"/>
                <w:szCs w:val="21"/>
              </w:rPr>
              <w:t>（二）部分公开（</w:t>
            </w:r>
            <w:bookmarkStart w:id="1" w:name="_Hlk66973981"/>
            <w:r>
              <w:rPr>
                <w:rFonts w:hint="eastAsia" w:ascii="黑体" w:hAnsi="黑体" w:eastAsia="黑体"/>
                <w:kern w:val="0"/>
                <w:szCs w:val="21"/>
              </w:rPr>
              <w:t>区分处理的，只计这一情形，不计其他情形</w:t>
            </w:r>
            <w:bookmarkEnd w:id="1"/>
            <w:r>
              <w:rPr>
                <w:rFonts w:hint="eastAsia" w:ascii="黑体" w:hAnsi="黑体" w:eastAsia="黑体"/>
                <w:kern w:val="0"/>
                <w:szCs w:val="21"/>
              </w:rPr>
              <w:t>）</w:t>
            </w:r>
          </w:p>
        </w:tc>
        <w:tc>
          <w:tcPr>
            <w:tcW w:w="752" w:type="dxa"/>
            <w:gridSpan w:val="2"/>
            <w:noWrap w:val="0"/>
            <w:tcMar>
              <w:left w:w="108" w:type="dxa"/>
              <w:right w:w="108" w:type="dxa"/>
            </w:tcMar>
            <w:vAlign w:val="center"/>
          </w:tcPr>
          <w:p w14:paraId="25DF2D0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40" w:type="dxa"/>
            <w:gridSpan w:val="2"/>
            <w:noWrap w:val="0"/>
            <w:tcMar>
              <w:left w:w="108" w:type="dxa"/>
              <w:right w:w="108" w:type="dxa"/>
            </w:tcMar>
            <w:vAlign w:val="center"/>
          </w:tcPr>
          <w:p w14:paraId="689E706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35" w:type="dxa"/>
            <w:noWrap w:val="0"/>
            <w:tcMar>
              <w:left w:w="108" w:type="dxa"/>
              <w:right w:w="108" w:type="dxa"/>
            </w:tcMar>
            <w:vAlign w:val="center"/>
          </w:tcPr>
          <w:p w14:paraId="473604D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20" w:type="dxa"/>
            <w:noWrap w:val="0"/>
            <w:tcMar>
              <w:left w:w="108" w:type="dxa"/>
              <w:right w:w="108" w:type="dxa"/>
            </w:tcMar>
            <w:vAlign w:val="center"/>
          </w:tcPr>
          <w:p w14:paraId="435807D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675" w:type="dxa"/>
            <w:noWrap w:val="0"/>
            <w:tcMar>
              <w:left w:w="108" w:type="dxa"/>
              <w:right w:w="108" w:type="dxa"/>
            </w:tcMar>
            <w:vAlign w:val="center"/>
          </w:tcPr>
          <w:p w14:paraId="7BD6B7D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26" w:type="dxa"/>
            <w:gridSpan w:val="2"/>
            <w:noWrap w:val="0"/>
            <w:tcMar>
              <w:left w:w="108" w:type="dxa"/>
              <w:right w:w="108" w:type="dxa"/>
            </w:tcMar>
            <w:vAlign w:val="center"/>
          </w:tcPr>
          <w:p w14:paraId="4E4583D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00" w:type="dxa"/>
            <w:noWrap w:val="0"/>
            <w:tcMar>
              <w:left w:w="108" w:type="dxa"/>
              <w:right w:w="108" w:type="dxa"/>
            </w:tcMar>
            <w:vAlign w:val="center"/>
          </w:tcPr>
          <w:p w14:paraId="2E623C5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r>
      <w:tr w14:paraId="51CC2CB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09AA1E9C">
            <w:pPr>
              <w:rPr>
                <w:rFonts w:ascii="黑体" w:hAnsi="黑体" w:eastAsia="黑体"/>
                <w:szCs w:val="21"/>
              </w:rPr>
            </w:pPr>
          </w:p>
        </w:tc>
        <w:tc>
          <w:tcPr>
            <w:tcW w:w="1701" w:type="dxa"/>
            <w:vMerge w:val="restart"/>
            <w:noWrap w:val="0"/>
            <w:tcMar>
              <w:left w:w="108" w:type="dxa"/>
              <w:right w:w="108" w:type="dxa"/>
            </w:tcMar>
            <w:vAlign w:val="center"/>
          </w:tcPr>
          <w:p w14:paraId="3FB53265">
            <w:pPr>
              <w:widowControl/>
              <w:spacing w:line="200" w:lineRule="exact"/>
              <w:ind w:left="-107" w:leftChars="-51"/>
              <w:rPr>
                <w:rFonts w:ascii="黑体" w:hAnsi="黑体" w:eastAsia="黑体"/>
                <w:szCs w:val="21"/>
              </w:rPr>
            </w:pPr>
            <w:r>
              <w:rPr>
                <w:rFonts w:hint="eastAsia" w:ascii="黑体" w:hAnsi="黑体" w:eastAsia="黑体"/>
                <w:kern w:val="0"/>
                <w:szCs w:val="21"/>
              </w:rPr>
              <w:t>（三）不予公开</w:t>
            </w:r>
          </w:p>
        </w:tc>
        <w:tc>
          <w:tcPr>
            <w:tcW w:w="2976" w:type="dxa"/>
            <w:noWrap w:val="0"/>
            <w:tcMar>
              <w:left w:w="108" w:type="dxa"/>
              <w:right w:w="108" w:type="dxa"/>
            </w:tcMar>
            <w:vAlign w:val="center"/>
          </w:tcPr>
          <w:p w14:paraId="7694F7C2">
            <w:pPr>
              <w:widowControl/>
              <w:spacing w:line="200" w:lineRule="exact"/>
              <w:rPr>
                <w:rFonts w:ascii="仿宋_GB2312" w:hAnsi="黑体" w:eastAsia="仿宋_GB2312"/>
                <w:kern w:val="0"/>
                <w:szCs w:val="21"/>
              </w:rPr>
            </w:pPr>
            <w:r>
              <w:rPr>
                <w:rFonts w:hint="eastAsia" w:ascii="仿宋_GB2312" w:hAnsi="黑体" w:eastAsia="仿宋_GB2312"/>
                <w:kern w:val="0"/>
                <w:szCs w:val="21"/>
              </w:rPr>
              <w:t>1.属于国家秘密</w:t>
            </w:r>
          </w:p>
        </w:tc>
        <w:tc>
          <w:tcPr>
            <w:tcW w:w="747" w:type="dxa"/>
            <w:noWrap w:val="0"/>
            <w:tcMar>
              <w:left w:w="108" w:type="dxa"/>
              <w:right w:w="108" w:type="dxa"/>
            </w:tcMar>
            <w:vAlign w:val="center"/>
          </w:tcPr>
          <w:p w14:paraId="26796DD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14:paraId="4C9E328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14:paraId="0C5EA6E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noWrap w:val="0"/>
            <w:tcMar>
              <w:left w:w="108" w:type="dxa"/>
              <w:right w:w="108" w:type="dxa"/>
            </w:tcMar>
            <w:vAlign w:val="center"/>
          </w:tcPr>
          <w:p w14:paraId="578BB25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noWrap w:val="0"/>
            <w:tcMar>
              <w:left w:w="108" w:type="dxa"/>
              <w:right w:w="108" w:type="dxa"/>
            </w:tcMar>
            <w:vAlign w:val="center"/>
          </w:tcPr>
          <w:p w14:paraId="2C255D5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noWrap w:val="0"/>
            <w:tcMar>
              <w:left w:w="108" w:type="dxa"/>
              <w:right w:w="108" w:type="dxa"/>
            </w:tcMar>
            <w:vAlign w:val="center"/>
          </w:tcPr>
          <w:p w14:paraId="20BB212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noWrap w:val="0"/>
            <w:tcMar>
              <w:left w:w="108" w:type="dxa"/>
              <w:right w:w="108" w:type="dxa"/>
            </w:tcMar>
            <w:vAlign w:val="center"/>
          </w:tcPr>
          <w:p w14:paraId="24298B3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r>
      <w:tr w14:paraId="6AD470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2A357148">
            <w:pPr>
              <w:rPr>
                <w:rFonts w:ascii="黑体" w:hAnsi="黑体" w:eastAsia="黑体"/>
                <w:szCs w:val="21"/>
              </w:rPr>
            </w:pPr>
          </w:p>
        </w:tc>
        <w:tc>
          <w:tcPr>
            <w:tcW w:w="1701" w:type="dxa"/>
            <w:vMerge w:val="continue"/>
            <w:noWrap w:val="0"/>
            <w:tcMar>
              <w:left w:w="108" w:type="dxa"/>
              <w:right w:w="108" w:type="dxa"/>
            </w:tcMar>
            <w:vAlign w:val="center"/>
          </w:tcPr>
          <w:p w14:paraId="3B80725A">
            <w:pPr>
              <w:spacing w:line="200" w:lineRule="exact"/>
              <w:rPr>
                <w:rFonts w:ascii="黑体" w:hAnsi="黑体" w:eastAsia="黑体"/>
                <w:szCs w:val="21"/>
              </w:rPr>
            </w:pPr>
          </w:p>
        </w:tc>
        <w:tc>
          <w:tcPr>
            <w:tcW w:w="2976" w:type="dxa"/>
            <w:noWrap w:val="0"/>
            <w:tcMar>
              <w:left w:w="108" w:type="dxa"/>
              <w:right w:w="108" w:type="dxa"/>
            </w:tcMar>
            <w:vAlign w:val="center"/>
          </w:tcPr>
          <w:p w14:paraId="38E73331">
            <w:pPr>
              <w:widowControl/>
              <w:spacing w:line="200" w:lineRule="exact"/>
              <w:rPr>
                <w:rFonts w:ascii="仿宋_GB2312" w:hAnsi="黑体" w:eastAsia="仿宋_GB2312"/>
                <w:kern w:val="0"/>
                <w:szCs w:val="21"/>
              </w:rPr>
            </w:pPr>
            <w:r>
              <w:rPr>
                <w:rFonts w:hint="eastAsia" w:ascii="仿宋_GB2312" w:hAnsi="黑体" w:eastAsia="仿宋_GB2312"/>
                <w:kern w:val="0"/>
                <w:szCs w:val="21"/>
              </w:rPr>
              <w:t>2.</w:t>
            </w:r>
            <w:bookmarkStart w:id="2" w:name="_Hlk66974104"/>
            <w:r>
              <w:rPr>
                <w:rFonts w:hint="eastAsia" w:ascii="仿宋_GB2312" w:hAnsi="黑体" w:eastAsia="仿宋_GB2312"/>
                <w:kern w:val="0"/>
                <w:szCs w:val="21"/>
              </w:rPr>
              <w:t>其他法律行政法规禁止公开</w:t>
            </w:r>
            <w:bookmarkEnd w:id="2"/>
          </w:p>
        </w:tc>
        <w:tc>
          <w:tcPr>
            <w:tcW w:w="747" w:type="dxa"/>
            <w:noWrap w:val="0"/>
            <w:tcMar>
              <w:left w:w="108" w:type="dxa"/>
              <w:right w:w="108" w:type="dxa"/>
            </w:tcMar>
            <w:vAlign w:val="center"/>
          </w:tcPr>
          <w:p w14:paraId="1385D3A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14:paraId="5A68B3F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14:paraId="03A045F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noWrap w:val="0"/>
            <w:tcMar>
              <w:left w:w="108" w:type="dxa"/>
              <w:right w:w="108" w:type="dxa"/>
            </w:tcMar>
            <w:vAlign w:val="center"/>
          </w:tcPr>
          <w:p w14:paraId="3537F9A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noWrap w:val="0"/>
            <w:tcMar>
              <w:left w:w="108" w:type="dxa"/>
              <w:right w:w="108" w:type="dxa"/>
            </w:tcMar>
            <w:vAlign w:val="center"/>
          </w:tcPr>
          <w:p w14:paraId="352E1E2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noWrap w:val="0"/>
            <w:tcMar>
              <w:left w:w="108" w:type="dxa"/>
              <w:right w:w="108" w:type="dxa"/>
            </w:tcMar>
            <w:vAlign w:val="center"/>
          </w:tcPr>
          <w:p w14:paraId="58F0FBD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noWrap w:val="0"/>
            <w:tcMar>
              <w:left w:w="108" w:type="dxa"/>
              <w:right w:w="108" w:type="dxa"/>
            </w:tcMar>
            <w:vAlign w:val="center"/>
          </w:tcPr>
          <w:p w14:paraId="108EBE2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r>
      <w:tr w14:paraId="2C4FE5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6E583CEB">
            <w:pPr>
              <w:rPr>
                <w:rFonts w:ascii="黑体" w:hAnsi="黑体" w:eastAsia="黑体"/>
                <w:szCs w:val="21"/>
              </w:rPr>
            </w:pPr>
          </w:p>
        </w:tc>
        <w:tc>
          <w:tcPr>
            <w:tcW w:w="1701" w:type="dxa"/>
            <w:vMerge w:val="continue"/>
            <w:noWrap w:val="0"/>
            <w:tcMar>
              <w:left w:w="108" w:type="dxa"/>
              <w:right w:w="108" w:type="dxa"/>
            </w:tcMar>
            <w:vAlign w:val="center"/>
          </w:tcPr>
          <w:p w14:paraId="344216D3">
            <w:pPr>
              <w:spacing w:line="200" w:lineRule="exact"/>
              <w:rPr>
                <w:rFonts w:ascii="黑体" w:hAnsi="黑体" w:eastAsia="黑体"/>
                <w:szCs w:val="21"/>
              </w:rPr>
            </w:pPr>
          </w:p>
        </w:tc>
        <w:tc>
          <w:tcPr>
            <w:tcW w:w="2976" w:type="dxa"/>
            <w:noWrap w:val="0"/>
            <w:tcMar>
              <w:left w:w="108" w:type="dxa"/>
              <w:right w:w="108" w:type="dxa"/>
            </w:tcMar>
            <w:vAlign w:val="center"/>
          </w:tcPr>
          <w:p w14:paraId="74DD667C">
            <w:pPr>
              <w:widowControl/>
              <w:spacing w:line="200" w:lineRule="exact"/>
              <w:rPr>
                <w:rFonts w:ascii="仿宋_GB2312" w:hAnsi="黑体" w:eastAsia="仿宋_GB2312"/>
                <w:kern w:val="0"/>
                <w:szCs w:val="21"/>
              </w:rPr>
            </w:pPr>
            <w:r>
              <w:rPr>
                <w:rFonts w:hint="eastAsia" w:ascii="仿宋_GB2312" w:hAnsi="黑体" w:eastAsia="仿宋_GB2312"/>
                <w:kern w:val="0"/>
                <w:szCs w:val="21"/>
              </w:rPr>
              <w:t>3.危及“三安全一稳定”</w:t>
            </w:r>
          </w:p>
        </w:tc>
        <w:tc>
          <w:tcPr>
            <w:tcW w:w="747" w:type="dxa"/>
            <w:noWrap w:val="0"/>
            <w:tcMar>
              <w:left w:w="108" w:type="dxa"/>
              <w:right w:w="108" w:type="dxa"/>
            </w:tcMar>
            <w:vAlign w:val="center"/>
          </w:tcPr>
          <w:p w14:paraId="220A7D5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14:paraId="45E158E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14:paraId="03493EA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noWrap w:val="0"/>
            <w:tcMar>
              <w:left w:w="108" w:type="dxa"/>
              <w:right w:w="108" w:type="dxa"/>
            </w:tcMar>
            <w:vAlign w:val="center"/>
          </w:tcPr>
          <w:p w14:paraId="789F04E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noWrap w:val="0"/>
            <w:tcMar>
              <w:left w:w="108" w:type="dxa"/>
              <w:right w:w="108" w:type="dxa"/>
            </w:tcMar>
            <w:vAlign w:val="center"/>
          </w:tcPr>
          <w:p w14:paraId="7F01384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noWrap w:val="0"/>
            <w:tcMar>
              <w:left w:w="108" w:type="dxa"/>
              <w:right w:w="108" w:type="dxa"/>
            </w:tcMar>
            <w:vAlign w:val="center"/>
          </w:tcPr>
          <w:p w14:paraId="6DEA819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noWrap w:val="0"/>
            <w:tcMar>
              <w:left w:w="108" w:type="dxa"/>
              <w:right w:w="108" w:type="dxa"/>
            </w:tcMar>
            <w:vAlign w:val="center"/>
          </w:tcPr>
          <w:p w14:paraId="157848D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r>
      <w:tr w14:paraId="43D873D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65E62488">
            <w:pPr>
              <w:rPr>
                <w:rFonts w:ascii="黑体" w:hAnsi="黑体" w:eastAsia="黑体"/>
                <w:szCs w:val="21"/>
              </w:rPr>
            </w:pPr>
          </w:p>
        </w:tc>
        <w:tc>
          <w:tcPr>
            <w:tcW w:w="1701" w:type="dxa"/>
            <w:vMerge w:val="continue"/>
            <w:noWrap w:val="0"/>
            <w:tcMar>
              <w:left w:w="108" w:type="dxa"/>
              <w:right w:w="108" w:type="dxa"/>
            </w:tcMar>
            <w:vAlign w:val="center"/>
          </w:tcPr>
          <w:p w14:paraId="00A22B26">
            <w:pPr>
              <w:spacing w:line="200" w:lineRule="exact"/>
              <w:rPr>
                <w:rFonts w:ascii="黑体" w:hAnsi="黑体" w:eastAsia="黑体"/>
                <w:szCs w:val="21"/>
              </w:rPr>
            </w:pPr>
          </w:p>
        </w:tc>
        <w:tc>
          <w:tcPr>
            <w:tcW w:w="2976" w:type="dxa"/>
            <w:noWrap w:val="0"/>
            <w:tcMar>
              <w:left w:w="108" w:type="dxa"/>
              <w:right w:w="108" w:type="dxa"/>
            </w:tcMar>
            <w:vAlign w:val="center"/>
          </w:tcPr>
          <w:p w14:paraId="1DB8C652">
            <w:pPr>
              <w:widowControl/>
              <w:spacing w:line="200" w:lineRule="exact"/>
              <w:rPr>
                <w:rFonts w:ascii="仿宋_GB2312" w:hAnsi="黑体" w:eastAsia="仿宋_GB2312"/>
                <w:kern w:val="0"/>
                <w:szCs w:val="21"/>
              </w:rPr>
            </w:pPr>
            <w:r>
              <w:rPr>
                <w:rFonts w:hint="eastAsia" w:ascii="仿宋_GB2312" w:hAnsi="黑体" w:eastAsia="仿宋_GB2312"/>
                <w:kern w:val="0"/>
                <w:szCs w:val="21"/>
              </w:rPr>
              <w:t>4.</w:t>
            </w:r>
            <w:bookmarkStart w:id="3" w:name="_Hlk66974290"/>
            <w:r>
              <w:rPr>
                <w:rFonts w:hint="eastAsia" w:ascii="仿宋_GB2312" w:hAnsi="黑体" w:eastAsia="仿宋_GB2312"/>
                <w:kern w:val="0"/>
                <w:szCs w:val="21"/>
              </w:rPr>
              <w:t>保护第三方合法权益</w:t>
            </w:r>
            <w:bookmarkEnd w:id="3"/>
          </w:p>
        </w:tc>
        <w:tc>
          <w:tcPr>
            <w:tcW w:w="747" w:type="dxa"/>
            <w:noWrap w:val="0"/>
            <w:tcMar>
              <w:left w:w="108" w:type="dxa"/>
              <w:right w:w="108" w:type="dxa"/>
            </w:tcMar>
            <w:vAlign w:val="center"/>
          </w:tcPr>
          <w:p w14:paraId="19DF881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14:paraId="0550DF8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14:paraId="4EFA023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noWrap w:val="0"/>
            <w:tcMar>
              <w:left w:w="108" w:type="dxa"/>
              <w:right w:w="108" w:type="dxa"/>
            </w:tcMar>
            <w:vAlign w:val="center"/>
          </w:tcPr>
          <w:p w14:paraId="0C1DBA6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noWrap w:val="0"/>
            <w:tcMar>
              <w:left w:w="108" w:type="dxa"/>
              <w:right w:w="108" w:type="dxa"/>
            </w:tcMar>
            <w:vAlign w:val="center"/>
          </w:tcPr>
          <w:p w14:paraId="74A47DA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noWrap w:val="0"/>
            <w:tcMar>
              <w:left w:w="108" w:type="dxa"/>
              <w:right w:w="108" w:type="dxa"/>
            </w:tcMar>
            <w:vAlign w:val="center"/>
          </w:tcPr>
          <w:p w14:paraId="7961B62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noWrap w:val="0"/>
            <w:tcMar>
              <w:left w:w="108" w:type="dxa"/>
              <w:right w:w="108" w:type="dxa"/>
            </w:tcMar>
            <w:vAlign w:val="center"/>
          </w:tcPr>
          <w:p w14:paraId="5B1FFE7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r>
      <w:tr w14:paraId="20B93EF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0A922787">
            <w:pPr>
              <w:rPr>
                <w:rFonts w:ascii="黑体" w:hAnsi="黑体" w:eastAsia="黑体"/>
                <w:szCs w:val="21"/>
              </w:rPr>
            </w:pPr>
          </w:p>
        </w:tc>
        <w:tc>
          <w:tcPr>
            <w:tcW w:w="1701" w:type="dxa"/>
            <w:vMerge w:val="continue"/>
            <w:noWrap w:val="0"/>
            <w:tcMar>
              <w:left w:w="108" w:type="dxa"/>
              <w:right w:w="108" w:type="dxa"/>
            </w:tcMar>
            <w:vAlign w:val="center"/>
          </w:tcPr>
          <w:p w14:paraId="69F2C1C0">
            <w:pPr>
              <w:spacing w:line="200" w:lineRule="exact"/>
              <w:rPr>
                <w:rFonts w:ascii="黑体" w:hAnsi="黑体" w:eastAsia="黑体"/>
                <w:szCs w:val="21"/>
              </w:rPr>
            </w:pPr>
          </w:p>
        </w:tc>
        <w:tc>
          <w:tcPr>
            <w:tcW w:w="2976" w:type="dxa"/>
            <w:noWrap w:val="0"/>
            <w:tcMar>
              <w:left w:w="108" w:type="dxa"/>
              <w:right w:w="108" w:type="dxa"/>
            </w:tcMar>
            <w:vAlign w:val="center"/>
          </w:tcPr>
          <w:p w14:paraId="44774588">
            <w:pPr>
              <w:widowControl/>
              <w:spacing w:line="200" w:lineRule="exact"/>
              <w:rPr>
                <w:rFonts w:ascii="仿宋_GB2312" w:hAnsi="黑体" w:eastAsia="仿宋_GB2312"/>
                <w:kern w:val="0"/>
                <w:szCs w:val="21"/>
              </w:rPr>
            </w:pPr>
            <w:r>
              <w:rPr>
                <w:rFonts w:hint="eastAsia" w:ascii="仿宋_GB2312" w:hAnsi="黑体" w:eastAsia="仿宋_GB2312"/>
                <w:kern w:val="0"/>
                <w:szCs w:val="21"/>
              </w:rPr>
              <w:t>5.属于三类内部事务信息</w:t>
            </w:r>
          </w:p>
        </w:tc>
        <w:tc>
          <w:tcPr>
            <w:tcW w:w="747" w:type="dxa"/>
            <w:noWrap w:val="0"/>
            <w:tcMar>
              <w:left w:w="108" w:type="dxa"/>
              <w:right w:w="108" w:type="dxa"/>
            </w:tcMar>
            <w:vAlign w:val="center"/>
          </w:tcPr>
          <w:p w14:paraId="7283C40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14:paraId="0934B56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14:paraId="508F405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noWrap w:val="0"/>
            <w:tcMar>
              <w:left w:w="108" w:type="dxa"/>
              <w:right w:w="108" w:type="dxa"/>
            </w:tcMar>
            <w:vAlign w:val="center"/>
          </w:tcPr>
          <w:p w14:paraId="0AB551C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noWrap w:val="0"/>
            <w:tcMar>
              <w:left w:w="108" w:type="dxa"/>
              <w:right w:w="108" w:type="dxa"/>
            </w:tcMar>
            <w:vAlign w:val="center"/>
          </w:tcPr>
          <w:p w14:paraId="0A4B3E2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noWrap w:val="0"/>
            <w:tcMar>
              <w:left w:w="108" w:type="dxa"/>
              <w:right w:w="108" w:type="dxa"/>
            </w:tcMar>
            <w:vAlign w:val="center"/>
          </w:tcPr>
          <w:p w14:paraId="01332C3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noWrap w:val="0"/>
            <w:tcMar>
              <w:left w:w="108" w:type="dxa"/>
              <w:right w:w="108" w:type="dxa"/>
            </w:tcMar>
            <w:vAlign w:val="center"/>
          </w:tcPr>
          <w:p w14:paraId="5186E70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r>
      <w:tr w14:paraId="1B07B2D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6E3A2591">
            <w:pPr>
              <w:rPr>
                <w:rFonts w:ascii="黑体" w:hAnsi="黑体" w:eastAsia="黑体"/>
                <w:szCs w:val="21"/>
              </w:rPr>
            </w:pPr>
          </w:p>
        </w:tc>
        <w:tc>
          <w:tcPr>
            <w:tcW w:w="1701" w:type="dxa"/>
            <w:vMerge w:val="continue"/>
            <w:noWrap w:val="0"/>
            <w:tcMar>
              <w:left w:w="108" w:type="dxa"/>
              <w:right w:w="108" w:type="dxa"/>
            </w:tcMar>
            <w:vAlign w:val="center"/>
          </w:tcPr>
          <w:p w14:paraId="01834A9C">
            <w:pPr>
              <w:spacing w:line="200" w:lineRule="exact"/>
              <w:rPr>
                <w:rFonts w:ascii="黑体" w:hAnsi="黑体" w:eastAsia="黑体"/>
                <w:szCs w:val="21"/>
              </w:rPr>
            </w:pPr>
          </w:p>
        </w:tc>
        <w:tc>
          <w:tcPr>
            <w:tcW w:w="2976" w:type="dxa"/>
            <w:noWrap w:val="0"/>
            <w:tcMar>
              <w:left w:w="108" w:type="dxa"/>
              <w:right w:w="108" w:type="dxa"/>
            </w:tcMar>
            <w:vAlign w:val="center"/>
          </w:tcPr>
          <w:p w14:paraId="3EF8808C">
            <w:pPr>
              <w:widowControl/>
              <w:spacing w:line="200" w:lineRule="exact"/>
              <w:rPr>
                <w:rFonts w:ascii="仿宋_GB2312" w:hAnsi="黑体" w:eastAsia="仿宋_GB2312"/>
                <w:kern w:val="0"/>
                <w:szCs w:val="21"/>
              </w:rPr>
            </w:pPr>
            <w:r>
              <w:rPr>
                <w:rFonts w:hint="eastAsia" w:ascii="仿宋_GB2312" w:hAnsi="黑体" w:eastAsia="仿宋_GB2312"/>
                <w:kern w:val="0"/>
                <w:szCs w:val="21"/>
              </w:rPr>
              <w:t>6.</w:t>
            </w:r>
            <w:bookmarkStart w:id="4" w:name="_Hlk66974555"/>
            <w:r>
              <w:rPr>
                <w:rFonts w:hint="eastAsia" w:ascii="仿宋_GB2312" w:hAnsi="黑体" w:eastAsia="仿宋_GB2312"/>
                <w:kern w:val="0"/>
                <w:szCs w:val="21"/>
              </w:rPr>
              <w:t>属于四类过程性信息</w:t>
            </w:r>
            <w:bookmarkEnd w:id="4"/>
          </w:p>
        </w:tc>
        <w:tc>
          <w:tcPr>
            <w:tcW w:w="747" w:type="dxa"/>
            <w:noWrap w:val="0"/>
            <w:tcMar>
              <w:left w:w="108" w:type="dxa"/>
              <w:right w:w="108" w:type="dxa"/>
            </w:tcMar>
            <w:vAlign w:val="center"/>
          </w:tcPr>
          <w:p w14:paraId="41A8491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14:paraId="24CF3D3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14:paraId="750621D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noWrap w:val="0"/>
            <w:tcMar>
              <w:left w:w="108" w:type="dxa"/>
              <w:right w:w="108" w:type="dxa"/>
            </w:tcMar>
            <w:vAlign w:val="center"/>
          </w:tcPr>
          <w:p w14:paraId="4C51584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noWrap w:val="0"/>
            <w:tcMar>
              <w:left w:w="108" w:type="dxa"/>
              <w:right w:w="108" w:type="dxa"/>
            </w:tcMar>
            <w:vAlign w:val="center"/>
          </w:tcPr>
          <w:p w14:paraId="01313C5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noWrap w:val="0"/>
            <w:tcMar>
              <w:left w:w="108" w:type="dxa"/>
              <w:right w:w="108" w:type="dxa"/>
            </w:tcMar>
            <w:vAlign w:val="center"/>
          </w:tcPr>
          <w:p w14:paraId="6B4EACD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noWrap w:val="0"/>
            <w:tcMar>
              <w:left w:w="108" w:type="dxa"/>
              <w:right w:w="108" w:type="dxa"/>
            </w:tcMar>
            <w:vAlign w:val="center"/>
          </w:tcPr>
          <w:p w14:paraId="4AED9E7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r>
      <w:tr w14:paraId="369532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3EFBD1A0">
            <w:pPr>
              <w:rPr>
                <w:rFonts w:ascii="黑体" w:hAnsi="黑体" w:eastAsia="黑体"/>
                <w:szCs w:val="21"/>
              </w:rPr>
            </w:pPr>
          </w:p>
        </w:tc>
        <w:tc>
          <w:tcPr>
            <w:tcW w:w="1701" w:type="dxa"/>
            <w:vMerge w:val="continue"/>
            <w:noWrap w:val="0"/>
            <w:tcMar>
              <w:left w:w="108" w:type="dxa"/>
              <w:right w:w="108" w:type="dxa"/>
            </w:tcMar>
            <w:vAlign w:val="center"/>
          </w:tcPr>
          <w:p w14:paraId="64C9CEE6">
            <w:pPr>
              <w:spacing w:line="200" w:lineRule="exact"/>
              <w:rPr>
                <w:rFonts w:ascii="黑体" w:hAnsi="黑体" w:eastAsia="黑体"/>
                <w:szCs w:val="21"/>
              </w:rPr>
            </w:pPr>
          </w:p>
        </w:tc>
        <w:tc>
          <w:tcPr>
            <w:tcW w:w="2976" w:type="dxa"/>
            <w:noWrap w:val="0"/>
            <w:tcMar>
              <w:left w:w="108" w:type="dxa"/>
              <w:right w:w="108" w:type="dxa"/>
            </w:tcMar>
            <w:vAlign w:val="center"/>
          </w:tcPr>
          <w:p w14:paraId="4A58FB7B">
            <w:pPr>
              <w:widowControl/>
              <w:spacing w:line="200" w:lineRule="exact"/>
              <w:rPr>
                <w:rFonts w:ascii="仿宋_GB2312" w:hAnsi="黑体" w:eastAsia="仿宋_GB2312"/>
                <w:kern w:val="0"/>
                <w:szCs w:val="21"/>
              </w:rPr>
            </w:pPr>
            <w:r>
              <w:rPr>
                <w:rFonts w:hint="eastAsia" w:ascii="仿宋_GB2312" w:hAnsi="黑体" w:eastAsia="仿宋_GB2312"/>
                <w:kern w:val="0"/>
                <w:szCs w:val="21"/>
              </w:rPr>
              <w:t>7.属于行政执法案卷</w:t>
            </w:r>
          </w:p>
        </w:tc>
        <w:tc>
          <w:tcPr>
            <w:tcW w:w="747" w:type="dxa"/>
            <w:noWrap w:val="0"/>
            <w:tcMar>
              <w:left w:w="108" w:type="dxa"/>
              <w:right w:w="108" w:type="dxa"/>
            </w:tcMar>
            <w:vAlign w:val="center"/>
          </w:tcPr>
          <w:p w14:paraId="4D8906D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14:paraId="2E26DE6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14:paraId="2E38ABF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noWrap w:val="0"/>
            <w:tcMar>
              <w:left w:w="108" w:type="dxa"/>
              <w:right w:w="108" w:type="dxa"/>
            </w:tcMar>
            <w:vAlign w:val="center"/>
          </w:tcPr>
          <w:p w14:paraId="12B2809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noWrap w:val="0"/>
            <w:tcMar>
              <w:left w:w="108" w:type="dxa"/>
              <w:right w:w="108" w:type="dxa"/>
            </w:tcMar>
            <w:vAlign w:val="center"/>
          </w:tcPr>
          <w:p w14:paraId="77FC175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noWrap w:val="0"/>
            <w:tcMar>
              <w:left w:w="108" w:type="dxa"/>
              <w:right w:w="108" w:type="dxa"/>
            </w:tcMar>
            <w:vAlign w:val="center"/>
          </w:tcPr>
          <w:p w14:paraId="79D3F53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noWrap w:val="0"/>
            <w:tcMar>
              <w:left w:w="108" w:type="dxa"/>
              <w:right w:w="108" w:type="dxa"/>
            </w:tcMar>
            <w:vAlign w:val="center"/>
          </w:tcPr>
          <w:p w14:paraId="68E4C56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r>
      <w:tr w14:paraId="56FA0E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2DA0BA63">
            <w:pPr>
              <w:rPr>
                <w:rFonts w:ascii="黑体" w:hAnsi="黑体" w:eastAsia="黑体"/>
                <w:szCs w:val="21"/>
              </w:rPr>
            </w:pPr>
          </w:p>
        </w:tc>
        <w:tc>
          <w:tcPr>
            <w:tcW w:w="1701" w:type="dxa"/>
            <w:vMerge w:val="continue"/>
            <w:noWrap w:val="0"/>
            <w:tcMar>
              <w:left w:w="108" w:type="dxa"/>
              <w:right w:w="108" w:type="dxa"/>
            </w:tcMar>
            <w:vAlign w:val="center"/>
          </w:tcPr>
          <w:p w14:paraId="6098CC99">
            <w:pPr>
              <w:spacing w:line="200" w:lineRule="exact"/>
              <w:rPr>
                <w:rFonts w:ascii="黑体" w:hAnsi="黑体" w:eastAsia="黑体"/>
                <w:szCs w:val="21"/>
              </w:rPr>
            </w:pPr>
          </w:p>
        </w:tc>
        <w:tc>
          <w:tcPr>
            <w:tcW w:w="2976" w:type="dxa"/>
            <w:noWrap w:val="0"/>
            <w:tcMar>
              <w:left w:w="108" w:type="dxa"/>
              <w:right w:w="108" w:type="dxa"/>
            </w:tcMar>
            <w:vAlign w:val="center"/>
          </w:tcPr>
          <w:p w14:paraId="6D745034">
            <w:pPr>
              <w:widowControl/>
              <w:spacing w:line="200" w:lineRule="exact"/>
              <w:rPr>
                <w:rFonts w:ascii="仿宋_GB2312" w:hAnsi="黑体" w:eastAsia="仿宋_GB2312"/>
                <w:kern w:val="0"/>
                <w:szCs w:val="21"/>
              </w:rPr>
            </w:pPr>
            <w:r>
              <w:rPr>
                <w:rFonts w:hint="eastAsia" w:ascii="仿宋_GB2312" w:hAnsi="黑体" w:eastAsia="仿宋_GB2312"/>
                <w:kern w:val="0"/>
                <w:szCs w:val="21"/>
              </w:rPr>
              <w:t>8.</w:t>
            </w:r>
            <w:bookmarkStart w:id="5" w:name="_Hlk66975211"/>
            <w:r>
              <w:rPr>
                <w:rFonts w:hint="eastAsia" w:ascii="仿宋_GB2312" w:hAnsi="黑体" w:eastAsia="仿宋_GB2312"/>
                <w:kern w:val="0"/>
                <w:szCs w:val="21"/>
              </w:rPr>
              <w:t>属于行政查询事项</w:t>
            </w:r>
            <w:bookmarkEnd w:id="5"/>
          </w:p>
        </w:tc>
        <w:tc>
          <w:tcPr>
            <w:tcW w:w="747" w:type="dxa"/>
            <w:noWrap w:val="0"/>
            <w:tcMar>
              <w:left w:w="108" w:type="dxa"/>
              <w:right w:w="108" w:type="dxa"/>
            </w:tcMar>
            <w:vAlign w:val="center"/>
          </w:tcPr>
          <w:p w14:paraId="53ABFBC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14:paraId="243060F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14:paraId="052B128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noWrap w:val="0"/>
            <w:tcMar>
              <w:left w:w="108" w:type="dxa"/>
              <w:right w:w="108" w:type="dxa"/>
            </w:tcMar>
            <w:vAlign w:val="center"/>
          </w:tcPr>
          <w:p w14:paraId="1CAB023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noWrap w:val="0"/>
            <w:tcMar>
              <w:left w:w="108" w:type="dxa"/>
              <w:right w:w="108" w:type="dxa"/>
            </w:tcMar>
            <w:vAlign w:val="center"/>
          </w:tcPr>
          <w:p w14:paraId="22E1258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noWrap w:val="0"/>
            <w:tcMar>
              <w:left w:w="108" w:type="dxa"/>
              <w:right w:w="108" w:type="dxa"/>
            </w:tcMar>
            <w:vAlign w:val="center"/>
          </w:tcPr>
          <w:p w14:paraId="75876E9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noWrap w:val="0"/>
            <w:tcMar>
              <w:left w:w="108" w:type="dxa"/>
              <w:right w:w="108" w:type="dxa"/>
            </w:tcMar>
            <w:vAlign w:val="center"/>
          </w:tcPr>
          <w:p w14:paraId="492CA64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r>
      <w:tr w14:paraId="26D49D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4228BB06">
            <w:pPr>
              <w:rPr>
                <w:rFonts w:ascii="黑体" w:hAnsi="黑体" w:eastAsia="黑体"/>
                <w:szCs w:val="21"/>
              </w:rPr>
            </w:pPr>
          </w:p>
        </w:tc>
        <w:tc>
          <w:tcPr>
            <w:tcW w:w="1701" w:type="dxa"/>
            <w:vMerge w:val="restart"/>
            <w:noWrap w:val="0"/>
            <w:tcMar>
              <w:left w:w="108" w:type="dxa"/>
              <w:right w:w="108" w:type="dxa"/>
            </w:tcMar>
            <w:vAlign w:val="center"/>
          </w:tcPr>
          <w:p w14:paraId="6DFAE56F">
            <w:pPr>
              <w:widowControl/>
              <w:spacing w:line="200" w:lineRule="exact"/>
              <w:ind w:left="-107" w:leftChars="-51"/>
              <w:rPr>
                <w:rFonts w:ascii="黑体" w:hAnsi="黑体" w:eastAsia="黑体"/>
                <w:szCs w:val="21"/>
              </w:rPr>
            </w:pPr>
            <w:r>
              <w:rPr>
                <w:rFonts w:hint="eastAsia" w:ascii="黑体" w:hAnsi="黑体" w:eastAsia="黑体"/>
                <w:kern w:val="0"/>
                <w:szCs w:val="21"/>
              </w:rPr>
              <w:t>（四）无法提供</w:t>
            </w:r>
          </w:p>
        </w:tc>
        <w:tc>
          <w:tcPr>
            <w:tcW w:w="2976" w:type="dxa"/>
            <w:noWrap w:val="0"/>
            <w:tcMar>
              <w:left w:w="108" w:type="dxa"/>
              <w:right w:w="108" w:type="dxa"/>
            </w:tcMar>
            <w:vAlign w:val="center"/>
          </w:tcPr>
          <w:p w14:paraId="02C7DEBF">
            <w:pPr>
              <w:widowControl/>
              <w:spacing w:line="200" w:lineRule="exact"/>
              <w:rPr>
                <w:rFonts w:ascii="仿宋_GB2312" w:hAnsi="黑体" w:eastAsia="仿宋_GB2312"/>
                <w:kern w:val="0"/>
                <w:szCs w:val="21"/>
              </w:rPr>
            </w:pPr>
            <w:r>
              <w:rPr>
                <w:rFonts w:hint="eastAsia" w:ascii="仿宋_GB2312" w:hAnsi="黑体" w:eastAsia="仿宋_GB2312"/>
                <w:kern w:val="0"/>
                <w:szCs w:val="21"/>
              </w:rPr>
              <w:t>1.本机关不掌握相关政府信息</w:t>
            </w:r>
          </w:p>
        </w:tc>
        <w:tc>
          <w:tcPr>
            <w:tcW w:w="747" w:type="dxa"/>
            <w:noWrap w:val="0"/>
            <w:tcMar>
              <w:left w:w="108" w:type="dxa"/>
              <w:right w:w="108" w:type="dxa"/>
            </w:tcMar>
            <w:vAlign w:val="center"/>
          </w:tcPr>
          <w:p w14:paraId="2647E49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14:paraId="0D854A1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14:paraId="7BB3567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noWrap w:val="0"/>
            <w:tcMar>
              <w:left w:w="108" w:type="dxa"/>
              <w:right w:w="108" w:type="dxa"/>
            </w:tcMar>
            <w:vAlign w:val="center"/>
          </w:tcPr>
          <w:p w14:paraId="6AE99C7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noWrap w:val="0"/>
            <w:tcMar>
              <w:left w:w="108" w:type="dxa"/>
              <w:right w:w="108" w:type="dxa"/>
            </w:tcMar>
            <w:vAlign w:val="center"/>
          </w:tcPr>
          <w:p w14:paraId="2CF8A88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noWrap w:val="0"/>
            <w:tcMar>
              <w:left w:w="108" w:type="dxa"/>
              <w:right w:w="108" w:type="dxa"/>
            </w:tcMar>
            <w:vAlign w:val="center"/>
          </w:tcPr>
          <w:p w14:paraId="5CB42DA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noWrap w:val="0"/>
            <w:tcMar>
              <w:left w:w="108" w:type="dxa"/>
              <w:right w:w="108" w:type="dxa"/>
            </w:tcMar>
            <w:vAlign w:val="center"/>
          </w:tcPr>
          <w:p w14:paraId="34B6631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r>
      <w:tr w14:paraId="541FF9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130C8E76">
            <w:pPr>
              <w:rPr>
                <w:rFonts w:ascii="黑体" w:hAnsi="黑体" w:eastAsia="黑体"/>
                <w:szCs w:val="21"/>
              </w:rPr>
            </w:pPr>
          </w:p>
        </w:tc>
        <w:tc>
          <w:tcPr>
            <w:tcW w:w="1701" w:type="dxa"/>
            <w:vMerge w:val="continue"/>
            <w:noWrap w:val="0"/>
            <w:tcMar>
              <w:left w:w="108" w:type="dxa"/>
              <w:right w:w="108" w:type="dxa"/>
            </w:tcMar>
            <w:vAlign w:val="center"/>
          </w:tcPr>
          <w:p w14:paraId="5C3B640B">
            <w:pPr>
              <w:spacing w:line="200" w:lineRule="exact"/>
              <w:ind w:left="-107" w:leftChars="-51"/>
              <w:rPr>
                <w:rFonts w:ascii="黑体" w:hAnsi="黑体" w:eastAsia="黑体"/>
                <w:szCs w:val="21"/>
              </w:rPr>
            </w:pPr>
          </w:p>
        </w:tc>
        <w:tc>
          <w:tcPr>
            <w:tcW w:w="2976" w:type="dxa"/>
            <w:noWrap w:val="0"/>
            <w:tcMar>
              <w:left w:w="108" w:type="dxa"/>
              <w:right w:w="108" w:type="dxa"/>
            </w:tcMar>
            <w:vAlign w:val="center"/>
          </w:tcPr>
          <w:p w14:paraId="50B9D727">
            <w:pPr>
              <w:widowControl/>
              <w:spacing w:line="200" w:lineRule="exact"/>
              <w:rPr>
                <w:rFonts w:ascii="仿宋_GB2312" w:hAnsi="黑体" w:eastAsia="仿宋_GB2312"/>
                <w:kern w:val="0"/>
                <w:szCs w:val="21"/>
              </w:rPr>
            </w:pPr>
            <w:r>
              <w:rPr>
                <w:rFonts w:hint="eastAsia" w:ascii="仿宋_GB2312" w:hAnsi="黑体" w:eastAsia="仿宋_GB2312"/>
                <w:kern w:val="0"/>
                <w:szCs w:val="21"/>
              </w:rPr>
              <w:t>2.</w:t>
            </w:r>
            <w:bookmarkStart w:id="6" w:name="_Hlk66975392"/>
            <w:r>
              <w:rPr>
                <w:rFonts w:hint="eastAsia" w:ascii="仿宋_GB2312" w:hAnsi="黑体" w:eastAsia="仿宋_GB2312"/>
                <w:kern w:val="0"/>
                <w:szCs w:val="21"/>
              </w:rPr>
              <w:t>没有现成信息需要另行制作</w:t>
            </w:r>
            <w:bookmarkEnd w:id="6"/>
          </w:p>
        </w:tc>
        <w:tc>
          <w:tcPr>
            <w:tcW w:w="747" w:type="dxa"/>
            <w:noWrap w:val="0"/>
            <w:tcMar>
              <w:left w:w="108" w:type="dxa"/>
              <w:right w:w="108" w:type="dxa"/>
            </w:tcMar>
            <w:vAlign w:val="center"/>
          </w:tcPr>
          <w:p w14:paraId="2877BA5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14:paraId="209D4B8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14:paraId="7254AEE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noWrap w:val="0"/>
            <w:tcMar>
              <w:left w:w="108" w:type="dxa"/>
              <w:right w:w="108" w:type="dxa"/>
            </w:tcMar>
            <w:vAlign w:val="center"/>
          </w:tcPr>
          <w:p w14:paraId="2412C38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noWrap w:val="0"/>
            <w:tcMar>
              <w:left w:w="108" w:type="dxa"/>
              <w:right w:w="108" w:type="dxa"/>
            </w:tcMar>
            <w:vAlign w:val="center"/>
          </w:tcPr>
          <w:p w14:paraId="158A011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noWrap w:val="0"/>
            <w:tcMar>
              <w:left w:w="108" w:type="dxa"/>
              <w:right w:w="108" w:type="dxa"/>
            </w:tcMar>
            <w:vAlign w:val="center"/>
          </w:tcPr>
          <w:p w14:paraId="387D5CC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noWrap w:val="0"/>
            <w:tcMar>
              <w:left w:w="108" w:type="dxa"/>
              <w:right w:w="108" w:type="dxa"/>
            </w:tcMar>
            <w:vAlign w:val="center"/>
          </w:tcPr>
          <w:p w14:paraId="648AE03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r>
      <w:tr w14:paraId="269C17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2012F1FB">
            <w:pPr>
              <w:rPr>
                <w:rFonts w:ascii="黑体" w:hAnsi="黑体" w:eastAsia="黑体"/>
                <w:szCs w:val="21"/>
              </w:rPr>
            </w:pPr>
          </w:p>
        </w:tc>
        <w:tc>
          <w:tcPr>
            <w:tcW w:w="1701" w:type="dxa"/>
            <w:vMerge w:val="continue"/>
            <w:noWrap w:val="0"/>
            <w:tcMar>
              <w:left w:w="108" w:type="dxa"/>
              <w:right w:w="108" w:type="dxa"/>
            </w:tcMar>
            <w:vAlign w:val="center"/>
          </w:tcPr>
          <w:p w14:paraId="6399EA2B">
            <w:pPr>
              <w:spacing w:line="200" w:lineRule="exact"/>
              <w:ind w:left="-107" w:leftChars="-51"/>
              <w:rPr>
                <w:rFonts w:ascii="黑体" w:hAnsi="黑体" w:eastAsia="黑体"/>
                <w:szCs w:val="21"/>
              </w:rPr>
            </w:pPr>
          </w:p>
        </w:tc>
        <w:tc>
          <w:tcPr>
            <w:tcW w:w="2976" w:type="dxa"/>
            <w:noWrap w:val="0"/>
            <w:tcMar>
              <w:left w:w="108" w:type="dxa"/>
              <w:right w:w="108" w:type="dxa"/>
            </w:tcMar>
            <w:vAlign w:val="center"/>
          </w:tcPr>
          <w:p w14:paraId="479ACE5A">
            <w:pPr>
              <w:widowControl/>
              <w:spacing w:line="200" w:lineRule="exact"/>
              <w:rPr>
                <w:rFonts w:ascii="仿宋_GB2312" w:hAnsi="黑体" w:eastAsia="仿宋_GB2312"/>
                <w:kern w:val="0"/>
                <w:szCs w:val="21"/>
              </w:rPr>
            </w:pPr>
            <w:r>
              <w:rPr>
                <w:rFonts w:hint="eastAsia" w:ascii="仿宋_GB2312" w:hAnsi="黑体" w:eastAsia="仿宋_GB2312"/>
                <w:kern w:val="0"/>
                <w:szCs w:val="21"/>
              </w:rPr>
              <w:t>3.</w:t>
            </w:r>
            <w:bookmarkStart w:id="7" w:name="_Hlk66975466"/>
            <w:r>
              <w:rPr>
                <w:rFonts w:hint="eastAsia" w:ascii="仿宋_GB2312" w:hAnsi="黑体" w:eastAsia="仿宋_GB2312"/>
                <w:kern w:val="0"/>
                <w:szCs w:val="21"/>
              </w:rPr>
              <w:t>补正后申请内容仍不明确</w:t>
            </w:r>
            <w:bookmarkEnd w:id="7"/>
          </w:p>
        </w:tc>
        <w:tc>
          <w:tcPr>
            <w:tcW w:w="747" w:type="dxa"/>
            <w:noWrap w:val="0"/>
            <w:tcMar>
              <w:left w:w="108" w:type="dxa"/>
              <w:right w:w="108" w:type="dxa"/>
            </w:tcMar>
            <w:vAlign w:val="center"/>
          </w:tcPr>
          <w:p w14:paraId="14D7B1A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14:paraId="1274CFD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14:paraId="22AFE2D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noWrap w:val="0"/>
            <w:tcMar>
              <w:left w:w="108" w:type="dxa"/>
              <w:right w:w="108" w:type="dxa"/>
            </w:tcMar>
            <w:vAlign w:val="center"/>
          </w:tcPr>
          <w:p w14:paraId="6EC6E8C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noWrap w:val="0"/>
            <w:tcMar>
              <w:left w:w="108" w:type="dxa"/>
              <w:right w:w="108" w:type="dxa"/>
            </w:tcMar>
            <w:vAlign w:val="center"/>
          </w:tcPr>
          <w:p w14:paraId="745E5BF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noWrap w:val="0"/>
            <w:tcMar>
              <w:left w:w="108" w:type="dxa"/>
              <w:right w:w="108" w:type="dxa"/>
            </w:tcMar>
            <w:vAlign w:val="center"/>
          </w:tcPr>
          <w:p w14:paraId="2F03D26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noWrap w:val="0"/>
            <w:tcMar>
              <w:left w:w="108" w:type="dxa"/>
              <w:right w:w="108" w:type="dxa"/>
            </w:tcMar>
            <w:vAlign w:val="center"/>
          </w:tcPr>
          <w:p w14:paraId="0221441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r>
      <w:tr w14:paraId="21C0FE6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53C4550A">
            <w:pPr>
              <w:rPr>
                <w:rFonts w:ascii="黑体" w:hAnsi="黑体" w:eastAsia="黑体"/>
                <w:szCs w:val="21"/>
              </w:rPr>
            </w:pPr>
          </w:p>
        </w:tc>
        <w:tc>
          <w:tcPr>
            <w:tcW w:w="1701" w:type="dxa"/>
            <w:vMerge w:val="restart"/>
            <w:noWrap w:val="0"/>
            <w:tcMar>
              <w:left w:w="108" w:type="dxa"/>
              <w:right w:w="108" w:type="dxa"/>
            </w:tcMar>
            <w:vAlign w:val="center"/>
          </w:tcPr>
          <w:p w14:paraId="66FCBF7A">
            <w:pPr>
              <w:widowControl/>
              <w:spacing w:line="200" w:lineRule="exact"/>
              <w:ind w:left="-107" w:leftChars="-51"/>
              <w:rPr>
                <w:rFonts w:ascii="黑体" w:hAnsi="黑体" w:eastAsia="黑体"/>
                <w:szCs w:val="21"/>
              </w:rPr>
            </w:pPr>
            <w:r>
              <w:rPr>
                <w:rFonts w:hint="eastAsia" w:ascii="黑体" w:hAnsi="黑体" w:eastAsia="黑体"/>
                <w:kern w:val="0"/>
                <w:szCs w:val="21"/>
              </w:rPr>
              <w:t>（五）不予处理</w:t>
            </w:r>
          </w:p>
        </w:tc>
        <w:tc>
          <w:tcPr>
            <w:tcW w:w="2976" w:type="dxa"/>
            <w:noWrap w:val="0"/>
            <w:tcMar>
              <w:left w:w="108" w:type="dxa"/>
              <w:right w:w="108" w:type="dxa"/>
            </w:tcMar>
            <w:vAlign w:val="center"/>
          </w:tcPr>
          <w:p w14:paraId="66BF5D4C">
            <w:pPr>
              <w:widowControl/>
              <w:spacing w:line="200" w:lineRule="exact"/>
              <w:rPr>
                <w:rFonts w:ascii="仿宋_GB2312" w:hAnsi="黑体" w:eastAsia="仿宋_GB2312"/>
                <w:kern w:val="0"/>
                <w:szCs w:val="21"/>
              </w:rPr>
            </w:pPr>
            <w:r>
              <w:rPr>
                <w:rFonts w:hint="eastAsia" w:ascii="仿宋_GB2312" w:hAnsi="黑体" w:eastAsia="仿宋_GB2312"/>
                <w:kern w:val="0"/>
                <w:szCs w:val="21"/>
              </w:rPr>
              <w:t>1.</w:t>
            </w:r>
            <w:bookmarkStart w:id="8" w:name="_Hlk66975537"/>
            <w:r>
              <w:rPr>
                <w:rFonts w:hint="eastAsia" w:ascii="仿宋_GB2312" w:hAnsi="黑体" w:eastAsia="仿宋_GB2312"/>
                <w:kern w:val="0"/>
                <w:szCs w:val="21"/>
              </w:rPr>
              <w:t>信访举报投诉类申请</w:t>
            </w:r>
            <w:bookmarkEnd w:id="8"/>
          </w:p>
        </w:tc>
        <w:tc>
          <w:tcPr>
            <w:tcW w:w="747" w:type="dxa"/>
            <w:noWrap w:val="0"/>
            <w:tcMar>
              <w:left w:w="108" w:type="dxa"/>
              <w:right w:w="108" w:type="dxa"/>
            </w:tcMar>
            <w:vAlign w:val="center"/>
          </w:tcPr>
          <w:p w14:paraId="40A5E65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14:paraId="1843920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14:paraId="12F575C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noWrap w:val="0"/>
            <w:tcMar>
              <w:left w:w="108" w:type="dxa"/>
              <w:right w:w="108" w:type="dxa"/>
            </w:tcMar>
            <w:vAlign w:val="center"/>
          </w:tcPr>
          <w:p w14:paraId="1907744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noWrap w:val="0"/>
            <w:tcMar>
              <w:left w:w="108" w:type="dxa"/>
              <w:right w:w="108" w:type="dxa"/>
            </w:tcMar>
            <w:vAlign w:val="center"/>
          </w:tcPr>
          <w:p w14:paraId="7D69ED6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noWrap w:val="0"/>
            <w:tcMar>
              <w:left w:w="108" w:type="dxa"/>
              <w:right w:w="108" w:type="dxa"/>
            </w:tcMar>
            <w:vAlign w:val="center"/>
          </w:tcPr>
          <w:p w14:paraId="7747BB1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noWrap w:val="0"/>
            <w:tcMar>
              <w:left w:w="108" w:type="dxa"/>
              <w:right w:w="108" w:type="dxa"/>
            </w:tcMar>
            <w:vAlign w:val="center"/>
          </w:tcPr>
          <w:p w14:paraId="11E0FDA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r>
      <w:tr w14:paraId="415E86C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17F84B56">
            <w:pPr>
              <w:rPr>
                <w:rFonts w:ascii="黑体" w:hAnsi="黑体" w:eastAsia="黑体"/>
                <w:szCs w:val="21"/>
              </w:rPr>
            </w:pPr>
          </w:p>
        </w:tc>
        <w:tc>
          <w:tcPr>
            <w:tcW w:w="1701" w:type="dxa"/>
            <w:vMerge w:val="continue"/>
            <w:noWrap w:val="0"/>
            <w:tcMar>
              <w:left w:w="108" w:type="dxa"/>
              <w:right w:w="108" w:type="dxa"/>
            </w:tcMar>
            <w:vAlign w:val="center"/>
          </w:tcPr>
          <w:p w14:paraId="6A812C7A">
            <w:pPr>
              <w:spacing w:line="200" w:lineRule="exact"/>
              <w:rPr>
                <w:rFonts w:ascii="黑体" w:hAnsi="黑体" w:eastAsia="黑体"/>
                <w:szCs w:val="21"/>
              </w:rPr>
            </w:pPr>
          </w:p>
        </w:tc>
        <w:tc>
          <w:tcPr>
            <w:tcW w:w="2976" w:type="dxa"/>
            <w:noWrap w:val="0"/>
            <w:tcMar>
              <w:left w:w="108" w:type="dxa"/>
              <w:right w:w="108" w:type="dxa"/>
            </w:tcMar>
            <w:vAlign w:val="center"/>
          </w:tcPr>
          <w:p w14:paraId="00171ACF">
            <w:pPr>
              <w:widowControl/>
              <w:spacing w:line="200" w:lineRule="exact"/>
              <w:rPr>
                <w:rFonts w:ascii="仿宋_GB2312" w:hAnsi="黑体" w:eastAsia="仿宋_GB2312"/>
                <w:kern w:val="0"/>
                <w:szCs w:val="21"/>
              </w:rPr>
            </w:pPr>
            <w:r>
              <w:rPr>
                <w:rFonts w:hint="eastAsia" w:ascii="仿宋_GB2312" w:hAnsi="黑体" w:eastAsia="仿宋_GB2312"/>
                <w:kern w:val="0"/>
                <w:szCs w:val="21"/>
              </w:rPr>
              <w:t>2.重复申请</w:t>
            </w:r>
          </w:p>
        </w:tc>
        <w:tc>
          <w:tcPr>
            <w:tcW w:w="747" w:type="dxa"/>
            <w:noWrap w:val="0"/>
            <w:tcMar>
              <w:left w:w="108" w:type="dxa"/>
              <w:right w:w="108" w:type="dxa"/>
            </w:tcMar>
            <w:vAlign w:val="center"/>
          </w:tcPr>
          <w:p w14:paraId="6D845A2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14:paraId="2B2EB1D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14:paraId="4929BDF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noWrap w:val="0"/>
            <w:tcMar>
              <w:left w:w="108" w:type="dxa"/>
              <w:right w:w="108" w:type="dxa"/>
            </w:tcMar>
            <w:vAlign w:val="center"/>
          </w:tcPr>
          <w:p w14:paraId="522A265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noWrap w:val="0"/>
            <w:tcMar>
              <w:left w:w="108" w:type="dxa"/>
              <w:right w:w="108" w:type="dxa"/>
            </w:tcMar>
            <w:vAlign w:val="center"/>
          </w:tcPr>
          <w:p w14:paraId="411E155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noWrap w:val="0"/>
            <w:tcMar>
              <w:left w:w="108" w:type="dxa"/>
              <w:right w:w="108" w:type="dxa"/>
            </w:tcMar>
            <w:vAlign w:val="center"/>
          </w:tcPr>
          <w:p w14:paraId="067E2D3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noWrap w:val="0"/>
            <w:tcMar>
              <w:left w:w="108" w:type="dxa"/>
              <w:right w:w="108" w:type="dxa"/>
            </w:tcMar>
            <w:vAlign w:val="center"/>
          </w:tcPr>
          <w:p w14:paraId="7016288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r>
      <w:tr w14:paraId="64AF507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266E4C48">
            <w:pPr>
              <w:rPr>
                <w:rFonts w:ascii="黑体" w:hAnsi="黑体" w:eastAsia="黑体"/>
                <w:szCs w:val="21"/>
              </w:rPr>
            </w:pPr>
          </w:p>
        </w:tc>
        <w:tc>
          <w:tcPr>
            <w:tcW w:w="1701" w:type="dxa"/>
            <w:vMerge w:val="continue"/>
            <w:noWrap w:val="0"/>
            <w:tcMar>
              <w:left w:w="108" w:type="dxa"/>
              <w:right w:w="108" w:type="dxa"/>
            </w:tcMar>
            <w:vAlign w:val="center"/>
          </w:tcPr>
          <w:p w14:paraId="72EFBEAA">
            <w:pPr>
              <w:spacing w:line="200" w:lineRule="exact"/>
              <w:rPr>
                <w:rFonts w:ascii="黑体" w:hAnsi="黑体" w:eastAsia="黑体"/>
                <w:szCs w:val="21"/>
              </w:rPr>
            </w:pPr>
          </w:p>
        </w:tc>
        <w:tc>
          <w:tcPr>
            <w:tcW w:w="2976" w:type="dxa"/>
            <w:noWrap w:val="0"/>
            <w:tcMar>
              <w:left w:w="108" w:type="dxa"/>
              <w:right w:w="108" w:type="dxa"/>
            </w:tcMar>
            <w:vAlign w:val="center"/>
          </w:tcPr>
          <w:p w14:paraId="181744B9">
            <w:pPr>
              <w:widowControl/>
              <w:spacing w:line="200" w:lineRule="exact"/>
              <w:rPr>
                <w:rFonts w:ascii="仿宋_GB2312" w:hAnsi="黑体" w:eastAsia="仿宋_GB2312"/>
                <w:szCs w:val="21"/>
              </w:rPr>
            </w:pPr>
            <w:r>
              <w:rPr>
                <w:rFonts w:hint="eastAsia" w:ascii="仿宋_GB2312" w:hAnsi="黑体" w:eastAsia="仿宋_GB2312"/>
                <w:kern w:val="0"/>
                <w:szCs w:val="21"/>
              </w:rPr>
              <w:t>3.要求提供公开出版物</w:t>
            </w:r>
          </w:p>
        </w:tc>
        <w:tc>
          <w:tcPr>
            <w:tcW w:w="747" w:type="dxa"/>
            <w:noWrap w:val="0"/>
            <w:tcMar>
              <w:left w:w="108" w:type="dxa"/>
              <w:right w:w="108" w:type="dxa"/>
            </w:tcMar>
            <w:vAlign w:val="center"/>
          </w:tcPr>
          <w:p w14:paraId="306395B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14:paraId="2EA44C8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14:paraId="12E19EA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noWrap w:val="0"/>
            <w:tcMar>
              <w:left w:w="108" w:type="dxa"/>
              <w:right w:w="108" w:type="dxa"/>
            </w:tcMar>
            <w:vAlign w:val="center"/>
          </w:tcPr>
          <w:p w14:paraId="3003A99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noWrap w:val="0"/>
            <w:tcMar>
              <w:left w:w="108" w:type="dxa"/>
              <w:right w:w="108" w:type="dxa"/>
            </w:tcMar>
            <w:vAlign w:val="center"/>
          </w:tcPr>
          <w:p w14:paraId="7363BF1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noWrap w:val="0"/>
            <w:tcMar>
              <w:left w:w="108" w:type="dxa"/>
              <w:right w:w="108" w:type="dxa"/>
            </w:tcMar>
            <w:vAlign w:val="center"/>
          </w:tcPr>
          <w:p w14:paraId="5FEE3E7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noWrap w:val="0"/>
            <w:tcMar>
              <w:left w:w="108" w:type="dxa"/>
              <w:right w:w="108" w:type="dxa"/>
            </w:tcMar>
            <w:vAlign w:val="center"/>
          </w:tcPr>
          <w:p w14:paraId="273BD19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r>
      <w:tr w14:paraId="4F6914E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noWrap w:val="0"/>
            <w:tcMar>
              <w:left w:w="108" w:type="dxa"/>
              <w:right w:w="108" w:type="dxa"/>
            </w:tcMar>
            <w:vAlign w:val="center"/>
          </w:tcPr>
          <w:p w14:paraId="59326C2E">
            <w:pPr>
              <w:rPr>
                <w:rFonts w:ascii="黑体" w:hAnsi="黑体" w:eastAsia="黑体"/>
                <w:szCs w:val="21"/>
              </w:rPr>
            </w:pPr>
          </w:p>
        </w:tc>
        <w:tc>
          <w:tcPr>
            <w:tcW w:w="1701" w:type="dxa"/>
            <w:vMerge w:val="continue"/>
            <w:noWrap w:val="0"/>
            <w:tcMar>
              <w:left w:w="108" w:type="dxa"/>
              <w:right w:w="108" w:type="dxa"/>
            </w:tcMar>
            <w:vAlign w:val="center"/>
          </w:tcPr>
          <w:p w14:paraId="38937658">
            <w:pPr>
              <w:spacing w:line="200" w:lineRule="exact"/>
              <w:rPr>
                <w:rFonts w:ascii="黑体" w:hAnsi="黑体" w:eastAsia="黑体"/>
                <w:szCs w:val="21"/>
              </w:rPr>
            </w:pPr>
          </w:p>
        </w:tc>
        <w:tc>
          <w:tcPr>
            <w:tcW w:w="2976" w:type="dxa"/>
            <w:noWrap w:val="0"/>
            <w:tcMar>
              <w:left w:w="108" w:type="dxa"/>
              <w:right w:w="108" w:type="dxa"/>
            </w:tcMar>
            <w:vAlign w:val="center"/>
          </w:tcPr>
          <w:p w14:paraId="19932EB4">
            <w:pPr>
              <w:widowControl/>
              <w:spacing w:line="200" w:lineRule="exact"/>
              <w:rPr>
                <w:rFonts w:ascii="仿宋_GB2312" w:hAnsi="黑体" w:eastAsia="仿宋_GB2312"/>
                <w:szCs w:val="21"/>
              </w:rPr>
            </w:pPr>
            <w:r>
              <w:rPr>
                <w:rFonts w:hint="eastAsia" w:ascii="仿宋_GB2312" w:hAnsi="黑体" w:eastAsia="仿宋_GB2312"/>
                <w:kern w:val="0"/>
                <w:szCs w:val="21"/>
              </w:rPr>
              <w:t>4.无正当理由大量反复申请</w:t>
            </w:r>
          </w:p>
        </w:tc>
        <w:tc>
          <w:tcPr>
            <w:tcW w:w="747" w:type="dxa"/>
            <w:noWrap w:val="0"/>
            <w:tcMar>
              <w:left w:w="108" w:type="dxa"/>
              <w:right w:w="108" w:type="dxa"/>
            </w:tcMar>
            <w:vAlign w:val="center"/>
          </w:tcPr>
          <w:p w14:paraId="374978A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14:paraId="0139741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14:paraId="116E18A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noWrap w:val="0"/>
            <w:tcMar>
              <w:left w:w="108" w:type="dxa"/>
              <w:right w:w="108" w:type="dxa"/>
            </w:tcMar>
            <w:vAlign w:val="center"/>
          </w:tcPr>
          <w:p w14:paraId="73B32D8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noWrap w:val="0"/>
            <w:tcMar>
              <w:left w:w="108" w:type="dxa"/>
              <w:right w:w="108" w:type="dxa"/>
            </w:tcMar>
            <w:vAlign w:val="center"/>
          </w:tcPr>
          <w:p w14:paraId="3B585FF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noWrap w:val="0"/>
            <w:tcMar>
              <w:left w:w="108" w:type="dxa"/>
              <w:right w:w="108" w:type="dxa"/>
            </w:tcMar>
            <w:vAlign w:val="center"/>
          </w:tcPr>
          <w:p w14:paraId="398E2B4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noWrap w:val="0"/>
            <w:tcMar>
              <w:left w:w="108" w:type="dxa"/>
              <w:right w:w="108" w:type="dxa"/>
            </w:tcMar>
            <w:vAlign w:val="center"/>
          </w:tcPr>
          <w:p w14:paraId="101CDB4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r>
      <w:tr w14:paraId="1307644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2F2C8AE3">
            <w:pPr>
              <w:rPr>
                <w:rFonts w:ascii="黑体" w:hAnsi="黑体" w:eastAsia="黑体"/>
                <w:szCs w:val="21"/>
              </w:rPr>
            </w:pPr>
          </w:p>
        </w:tc>
        <w:tc>
          <w:tcPr>
            <w:tcW w:w="1701" w:type="dxa"/>
            <w:vMerge w:val="continue"/>
            <w:noWrap w:val="0"/>
            <w:tcMar>
              <w:left w:w="108" w:type="dxa"/>
              <w:right w:w="108" w:type="dxa"/>
            </w:tcMar>
            <w:vAlign w:val="center"/>
          </w:tcPr>
          <w:p w14:paraId="0F4D3DA8">
            <w:pPr>
              <w:spacing w:line="200" w:lineRule="exact"/>
              <w:rPr>
                <w:rFonts w:ascii="黑体" w:hAnsi="黑体" w:eastAsia="黑体"/>
                <w:szCs w:val="21"/>
              </w:rPr>
            </w:pPr>
          </w:p>
        </w:tc>
        <w:tc>
          <w:tcPr>
            <w:tcW w:w="2976" w:type="dxa"/>
            <w:noWrap w:val="0"/>
            <w:tcMar>
              <w:left w:w="108" w:type="dxa"/>
              <w:right w:w="108" w:type="dxa"/>
            </w:tcMar>
            <w:vAlign w:val="center"/>
          </w:tcPr>
          <w:p w14:paraId="2DA38968">
            <w:pPr>
              <w:widowControl/>
              <w:spacing w:line="300" w:lineRule="exact"/>
              <w:ind w:firstLine="420" w:firstLineChars="200"/>
              <w:rPr>
                <w:rFonts w:ascii="仿宋_GB2312" w:hAnsi="黑体" w:eastAsia="仿宋_GB2312"/>
                <w:kern w:val="0"/>
                <w:szCs w:val="21"/>
              </w:rPr>
            </w:pPr>
            <w:r>
              <w:rPr>
                <w:rFonts w:hint="eastAsia" w:ascii="仿宋_GB2312" w:hAnsi="黑体" w:eastAsia="仿宋_GB2312"/>
                <w:kern w:val="0"/>
                <w:szCs w:val="21"/>
              </w:rPr>
              <w:t>5.要求行政机关确认或重新</w:t>
            </w:r>
          </w:p>
          <w:p w14:paraId="058796B9">
            <w:pPr>
              <w:widowControl/>
              <w:spacing w:line="300" w:lineRule="exact"/>
              <w:ind w:firstLine="420" w:firstLineChars="200"/>
              <w:rPr>
                <w:rFonts w:ascii="仿宋_GB2312" w:hAnsi="黑体" w:eastAsia="仿宋_GB2312"/>
                <w:szCs w:val="21"/>
              </w:rPr>
            </w:pPr>
            <w:r>
              <w:rPr>
                <w:rFonts w:hint="eastAsia" w:ascii="仿宋_GB2312" w:hAnsi="黑体" w:eastAsia="仿宋_GB2312"/>
                <w:kern w:val="0"/>
                <w:szCs w:val="21"/>
              </w:rPr>
              <w:t>出具已获取信息</w:t>
            </w:r>
          </w:p>
        </w:tc>
        <w:tc>
          <w:tcPr>
            <w:tcW w:w="747" w:type="dxa"/>
            <w:noWrap w:val="0"/>
            <w:tcMar>
              <w:left w:w="108" w:type="dxa"/>
              <w:right w:w="108" w:type="dxa"/>
            </w:tcMar>
            <w:vAlign w:val="center"/>
          </w:tcPr>
          <w:p w14:paraId="045C190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14:paraId="333EF80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14:paraId="18BB9E0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noWrap w:val="0"/>
            <w:tcMar>
              <w:left w:w="108" w:type="dxa"/>
              <w:right w:w="108" w:type="dxa"/>
            </w:tcMar>
            <w:vAlign w:val="center"/>
          </w:tcPr>
          <w:p w14:paraId="60BB13D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noWrap w:val="0"/>
            <w:tcMar>
              <w:left w:w="108" w:type="dxa"/>
              <w:right w:w="108" w:type="dxa"/>
            </w:tcMar>
            <w:vAlign w:val="center"/>
          </w:tcPr>
          <w:p w14:paraId="22D5658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noWrap w:val="0"/>
            <w:tcMar>
              <w:left w:w="108" w:type="dxa"/>
              <w:right w:w="108" w:type="dxa"/>
            </w:tcMar>
            <w:vAlign w:val="center"/>
          </w:tcPr>
          <w:p w14:paraId="38DCC12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noWrap w:val="0"/>
            <w:tcMar>
              <w:left w:w="108" w:type="dxa"/>
              <w:right w:w="108" w:type="dxa"/>
            </w:tcMar>
            <w:vAlign w:val="center"/>
          </w:tcPr>
          <w:p w14:paraId="3233197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r>
      <w:tr w14:paraId="3B3EE7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389E69F4">
            <w:pPr>
              <w:rPr>
                <w:rFonts w:ascii="黑体" w:hAnsi="黑体" w:eastAsia="黑体"/>
                <w:szCs w:val="21"/>
              </w:rPr>
            </w:pPr>
          </w:p>
        </w:tc>
        <w:tc>
          <w:tcPr>
            <w:tcW w:w="1701" w:type="dxa"/>
            <w:vMerge w:val="restart"/>
            <w:noWrap w:val="0"/>
            <w:tcMar>
              <w:left w:w="108" w:type="dxa"/>
              <w:right w:w="108" w:type="dxa"/>
            </w:tcMar>
            <w:vAlign w:val="center"/>
          </w:tcPr>
          <w:p w14:paraId="2579D9FF">
            <w:pPr>
              <w:widowControl/>
              <w:spacing w:line="300" w:lineRule="exact"/>
              <w:rPr>
                <w:rFonts w:ascii="黑体" w:hAnsi="黑体" w:eastAsia="黑体"/>
                <w:kern w:val="0"/>
                <w:szCs w:val="21"/>
              </w:rPr>
            </w:pPr>
            <w:r>
              <w:rPr>
                <w:rFonts w:hint="eastAsia" w:ascii="黑体" w:hAnsi="黑体" w:eastAsia="黑体"/>
                <w:kern w:val="0"/>
                <w:szCs w:val="21"/>
              </w:rPr>
              <w:t>（六）其他处理</w:t>
            </w:r>
          </w:p>
        </w:tc>
        <w:tc>
          <w:tcPr>
            <w:tcW w:w="2976" w:type="dxa"/>
            <w:noWrap w:val="0"/>
            <w:vAlign w:val="center"/>
          </w:tcPr>
          <w:p w14:paraId="66C35841">
            <w:pPr>
              <w:widowControl/>
              <w:spacing w:line="300" w:lineRule="exact"/>
              <w:rPr>
                <w:rFonts w:ascii="仿宋_GB2312" w:hAnsi="楷体" w:eastAsia="仿宋_GB2312"/>
              </w:rPr>
            </w:pPr>
            <w:r>
              <w:rPr>
                <w:rFonts w:hint="eastAsia" w:ascii="仿宋_GB2312" w:hAnsi="楷体" w:eastAsia="仿宋_GB2312"/>
              </w:rPr>
              <w:t>1.申请人无正当理由逾期不补正、行政机关不再处理其政府信息公开申请</w:t>
            </w:r>
          </w:p>
        </w:tc>
        <w:tc>
          <w:tcPr>
            <w:tcW w:w="747" w:type="dxa"/>
            <w:noWrap w:val="0"/>
            <w:tcMar>
              <w:left w:w="108" w:type="dxa"/>
              <w:right w:w="108" w:type="dxa"/>
            </w:tcMar>
            <w:vAlign w:val="center"/>
          </w:tcPr>
          <w:p w14:paraId="52296FE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14:paraId="4873672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14:paraId="525C843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noWrap w:val="0"/>
            <w:tcMar>
              <w:left w:w="108" w:type="dxa"/>
              <w:right w:w="108" w:type="dxa"/>
            </w:tcMar>
            <w:vAlign w:val="center"/>
          </w:tcPr>
          <w:p w14:paraId="78FF9F7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noWrap w:val="0"/>
            <w:tcMar>
              <w:left w:w="108" w:type="dxa"/>
              <w:right w:w="108" w:type="dxa"/>
            </w:tcMar>
            <w:vAlign w:val="center"/>
          </w:tcPr>
          <w:p w14:paraId="6625228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noWrap w:val="0"/>
            <w:tcMar>
              <w:left w:w="108" w:type="dxa"/>
              <w:right w:w="108" w:type="dxa"/>
            </w:tcMar>
            <w:vAlign w:val="center"/>
          </w:tcPr>
          <w:p w14:paraId="4A775EE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noWrap w:val="0"/>
            <w:tcMar>
              <w:left w:w="108" w:type="dxa"/>
              <w:right w:w="108" w:type="dxa"/>
            </w:tcMar>
            <w:vAlign w:val="center"/>
          </w:tcPr>
          <w:p w14:paraId="597AE2A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r>
      <w:tr w14:paraId="6CD7F8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392F3783">
            <w:pPr>
              <w:rPr>
                <w:rFonts w:ascii="黑体" w:hAnsi="黑体" w:eastAsia="黑体"/>
                <w:szCs w:val="21"/>
              </w:rPr>
            </w:pPr>
          </w:p>
        </w:tc>
        <w:tc>
          <w:tcPr>
            <w:tcW w:w="1701" w:type="dxa"/>
            <w:vMerge w:val="continue"/>
            <w:noWrap w:val="0"/>
            <w:tcMar>
              <w:left w:w="108" w:type="dxa"/>
              <w:right w:w="108" w:type="dxa"/>
            </w:tcMar>
            <w:vAlign w:val="center"/>
          </w:tcPr>
          <w:p w14:paraId="04769633">
            <w:pPr>
              <w:widowControl/>
              <w:spacing w:line="300" w:lineRule="exact"/>
              <w:rPr>
                <w:rFonts w:ascii="黑体" w:hAnsi="黑体" w:eastAsia="黑体"/>
                <w:kern w:val="0"/>
                <w:szCs w:val="21"/>
              </w:rPr>
            </w:pPr>
          </w:p>
        </w:tc>
        <w:tc>
          <w:tcPr>
            <w:tcW w:w="2976" w:type="dxa"/>
            <w:noWrap w:val="0"/>
            <w:vAlign w:val="center"/>
          </w:tcPr>
          <w:p w14:paraId="360A1CB7">
            <w:pPr>
              <w:widowControl/>
              <w:spacing w:line="300" w:lineRule="exact"/>
              <w:rPr>
                <w:rFonts w:ascii="仿宋_GB2312" w:hAnsi="黑体" w:eastAsia="仿宋_GB2312"/>
                <w:kern w:val="0"/>
                <w:szCs w:val="21"/>
              </w:rPr>
            </w:pPr>
            <w:r>
              <w:rPr>
                <w:rFonts w:hint="eastAsia" w:ascii="仿宋_GB2312" w:hAnsi="楷体" w:eastAsia="仿宋_GB2312"/>
              </w:rPr>
              <w:t>2.申请人逾期未按收费通知要求缴纳费用、行政机关不再处理其政府信息公开申请</w:t>
            </w:r>
          </w:p>
        </w:tc>
        <w:tc>
          <w:tcPr>
            <w:tcW w:w="747" w:type="dxa"/>
            <w:noWrap w:val="0"/>
            <w:tcMar>
              <w:left w:w="108" w:type="dxa"/>
              <w:right w:w="108" w:type="dxa"/>
            </w:tcMar>
            <w:vAlign w:val="center"/>
          </w:tcPr>
          <w:p w14:paraId="2038A35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40" w:type="dxa"/>
            <w:gridSpan w:val="2"/>
            <w:noWrap w:val="0"/>
            <w:tcMar>
              <w:left w:w="108" w:type="dxa"/>
              <w:right w:w="108" w:type="dxa"/>
            </w:tcMar>
            <w:vAlign w:val="center"/>
          </w:tcPr>
          <w:p w14:paraId="027040E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40" w:type="dxa"/>
            <w:gridSpan w:val="2"/>
            <w:noWrap w:val="0"/>
            <w:tcMar>
              <w:left w:w="108" w:type="dxa"/>
              <w:right w:w="108" w:type="dxa"/>
            </w:tcMar>
            <w:vAlign w:val="center"/>
          </w:tcPr>
          <w:p w14:paraId="3578C48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20" w:type="dxa"/>
            <w:noWrap w:val="0"/>
            <w:tcMar>
              <w:left w:w="108" w:type="dxa"/>
              <w:right w:w="108" w:type="dxa"/>
            </w:tcMar>
            <w:vAlign w:val="center"/>
          </w:tcPr>
          <w:p w14:paraId="379A906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675" w:type="dxa"/>
            <w:noWrap w:val="0"/>
            <w:tcMar>
              <w:left w:w="108" w:type="dxa"/>
              <w:right w:w="108" w:type="dxa"/>
            </w:tcMar>
            <w:vAlign w:val="center"/>
          </w:tcPr>
          <w:p w14:paraId="2E434D4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25" w:type="dxa"/>
            <w:noWrap w:val="0"/>
            <w:tcMar>
              <w:left w:w="108" w:type="dxa"/>
              <w:right w:w="108" w:type="dxa"/>
            </w:tcMar>
            <w:vAlign w:val="center"/>
          </w:tcPr>
          <w:p w14:paraId="10EA3C0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01" w:type="dxa"/>
            <w:gridSpan w:val="2"/>
            <w:noWrap w:val="0"/>
            <w:tcMar>
              <w:left w:w="108" w:type="dxa"/>
              <w:right w:w="108" w:type="dxa"/>
            </w:tcMar>
            <w:vAlign w:val="center"/>
          </w:tcPr>
          <w:p w14:paraId="763481F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r>
      <w:tr w14:paraId="470584D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07F3EE66">
            <w:pPr>
              <w:rPr>
                <w:rFonts w:ascii="黑体" w:hAnsi="黑体" w:eastAsia="黑体"/>
                <w:szCs w:val="21"/>
              </w:rPr>
            </w:pPr>
          </w:p>
        </w:tc>
        <w:tc>
          <w:tcPr>
            <w:tcW w:w="1701" w:type="dxa"/>
            <w:vMerge w:val="continue"/>
            <w:noWrap w:val="0"/>
            <w:tcMar>
              <w:left w:w="108" w:type="dxa"/>
              <w:right w:w="108" w:type="dxa"/>
            </w:tcMar>
            <w:vAlign w:val="center"/>
          </w:tcPr>
          <w:p w14:paraId="12B8FEDA">
            <w:pPr>
              <w:widowControl/>
              <w:spacing w:line="300" w:lineRule="exact"/>
              <w:rPr>
                <w:rFonts w:ascii="黑体" w:hAnsi="黑体" w:eastAsia="黑体"/>
                <w:kern w:val="0"/>
                <w:szCs w:val="21"/>
              </w:rPr>
            </w:pPr>
          </w:p>
        </w:tc>
        <w:tc>
          <w:tcPr>
            <w:tcW w:w="2976" w:type="dxa"/>
            <w:noWrap w:val="0"/>
            <w:vAlign w:val="center"/>
          </w:tcPr>
          <w:p w14:paraId="2880E2F5">
            <w:pPr>
              <w:widowControl/>
              <w:spacing w:line="300" w:lineRule="exact"/>
              <w:rPr>
                <w:rFonts w:ascii="仿宋_GB2312" w:hAnsi="黑体" w:eastAsia="仿宋_GB2312"/>
                <w:kern w:val="0"/>
                <w:szCs w:val="21"/>
              </w:rPr>
            </w:pPr>
            <w:r>
              <w:rPr>
                <w:rFonts w:hint="eastAsia" w:ascii="仿宋_GB2312" w:hAnsi="楷体" w:eastAsia="仿宋_GB2312"/>
              </w:rPr>
              <w:t>3.其他</w:t>
            </w:r>
          </w:p>
        </w:tc>
        <w:tc>
          <w:tcPr>
            <w:tcW w:w="747" w:type="dxa"/>
            <w:noWrap w:val="0"/>
            <w:tcMar>
              <w:left w:w="108" w:type="dxa"/>
              <w:right w:w="108" w:type="dxa"/>
            </w:tcMar>
            <w:vAlign w:val="center"/>
          </w:tcPr>
          <w:p w14:paraId="737B8B5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40" w:type="dxa"/>
            <w:gridSpan w:val="2"/>
            <w:noWrap w:val="0"/>
            <w:tcMar>
              <w:left w:w="108" w:type="dxa"/>
              <w:right w:w="108" w:type="dxa"/>
            </w:tcMar>
            <w:vAlign w:val="center"/>
          </w:tcPr>
          <w:p w14:paraId="0FA2C89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40" w:type="dxa"/>
            <w:gridSpan w:val="2"/>
            <w:noWrap w:val="0"/>
            <w:tcMar>
              <w:left w:w="108" w:type="dxa"/>
              <w:right w:w="108" w:type="dxa"/>
            </w:tcMar>
            <w:vAlign w:val="center"/>
          </w:tcPr>
          <w:p w14:paraId="6FF8019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20" w:type="dxa"/>
            <w:noWrap w:val="0"/>
            <w:tcMar>
              <w:left w:w="108" w:type="dxa"/>
              <w:right w:w="108" w:type="dxa"/>
            </w:tcMar>
            <w:vAlign w:val="center"/>
          </w:tcPr>
          <w:p w14:paraId="64D889D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675" w:type="dxa"/>
            <w:noWrap w:val="0"/>
            <w:tcMar>
              <w:left w:w="108" w:type="dxa"/>
              <w:right w:w="108" w:type="dxa"/>
            </w:tcMar>
            <w:vAlign w:val="center"/>
          </w:tcPr>
          <w:p w14:paraId="777959F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25" w:type="dxa"/>
            <w:noWrap w:val="0"/>
            <w:tcMar>
              <w:left w:w="108" w:type="dxa"/>
              <w:right w:w="108" w:type="dxa"/>
            </w:tcMar>
            <w:vAlign w:val="center"/>
          </w:tcPr>
          <w:p w14:paraId="5523D9A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01" w:type="dxa"/>
            <w:gridSpan w:val="2"/>
            <w:noWrap w:val="0"/>
            <w:tcMar>
              <w:left w:w="108" w:type="dxa"/>
              <w:right w:w="108" w:type="dxa"/>
            </w:tcMar>
            <w:vAlign w:val="center"/>
          </w:tcPr>
          <w:p w14:paraId="5E47836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lang w:val="en-US"/>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r>
      <w:tr w14:paraId="328C49B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22E71844">
            <w:pPr>
              <w:rPr>
                <w:rFonts w:ascii="黑体" w:hAnsi="黑体" w:eastAsia="黑体"/>
                <w:szCs w:val="21"/>
              </w:rPr>
            </w:pPr>
          </w:p>
        </w:tc>
        <w:tc>
          <w:tcPr>
            <w:tcW w:w="4677" w:type="dxa"/>
            <w:gridSpan w:val="2"/>
            <w:noWrap w:val="0"/>
            <w:tcMar>
              <w:left w:w="108" w:type="dxa"/>
              <w:right w:w="108" w:type="dxa"/>
            </w:tcMar>
            <w:vAlign w:val="center"/>
          </w:tcPr>
          <w:p w14:paraId="605E7AB3">
            <w:pPr>
              <w:widowControl/>
              <w:spacing w:line="300" w:lineRule="exact"/>
              <w:rPr>
                <w:rFonts w:ascii="黑体" w:hAnsi="黑体" w:eastAsia="黑体"/>
                <w:kern w:val="0"/>
                <w:szCs w:val="21"/>
              </w:rPr>
            </w:pPr>
            <w:r>
              <w:rPr>
                <w:rFonts w:hint="eastAsia" w:ascii="黑体" w:hAnsi="黑体" w:eastAsia="黑体"/>
                <w:kern w:val="0"/>
                <w:szCs w:val="21"/>
              </w:rPr>
              <w:t>（七）总计</w:t>
            </w:r>
          </w:p>
        </w:tc>
        <w:tc>
          <w:tcPr>
            <w:tcW w:w="747" w:type="dxa"/>
            <w:noWrap w:val="0"/>
            <w:tcMar>
              <w:left w:w="108" w:type="dxa"/>
              <w:right w:w="108" w:type="dxa"/>
            </w:tcMar>
            <w:vAlign w:val="center"/>
          </w:tcPr>
          <w:p w14:paraId="5C79974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40" w:type="dxa"/>
            <w:gridSpan w:val="2"/>
            <w:noWrap w:val="0"/>
            <w:tcMar>
              <w:left w:w="108" w:type="dxa"/>
              <w:right w:w="108" w:type="dxa"/>
            </w:tcMar>
            <w:vAlign w:val="center"/>
          </w:tcPr>
          <w:p w14:paraId="31C3F87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40" w:type="dxa"/>
            <w:gridSpan w:val="2"/>
            <w:noWrap w:val="0"/>
            <w:tcMar>
              <w:left w:w="108" w:type="dxa"/>
              <w:right w:w="108" w:type="dxa"/>
            </w:tcMar>
            <w:vAlign w:val="center"/>
          </w:tcPr>
          <w:p w14:paraId="07AD583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20" w:type="dxa"/>
            <w:noWrap w:val="0"/>
            <w:tcMar>
              <w:left w:w="108" w:type="dxa"/>
              <w:right w:w="108" w:type="dxa"/>
            </w:tcMar>
            <w:vAlign w:val="center"/>
          </w:tcPr>
          <w:p w14:paraId="55AECDD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675" w:type="dxa"/>
            <w:noWrap w:val="0"/>
            <w:tcMar>
              <w:left w:w="108" w:type="dxa"/>
              <w:right w:w="108" w:type="dxa"/>
            </w:tcMar>
            <w:vAlign w:val="center"/>
          </w:tcPr>
          <w:p w14:paraId="3A0DB23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25" w:type="dxa"/>
            <w:noWrap w:val="0"/>
            <w:tcMar>
              <w:left w:w="108" w:type="dxa"/>
              <w:right w:w="108" w:type="dxa"/>
            </w:tcMar>
            <w:vAlign w:val="center"/>
          </w:tcPr>
          <w:p w14:paraId="45562BF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01" w:type="dxa"/>
            <w:gridSpan w:val="2"/>
            <w:noWrap w:val="0"/>
            <w:tcMar>
              <w:left w:w="108" w:type="dxa"/>
              <w:right w:w="108" w:type="dxa"/>
            </w:tcMar>
            <w:vAlign w:val="center"/>
          </w:tcPr>
          <w:p w14:paraId="29B88B9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lang w:val="en-US"/>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r>
      <w:tr w14:paraId="0A77BA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093" w:type="dxa"/>
            <w:gridSpan w:val="3"/>
            <w:noWrap w:val="0"/>
            <w:tcMar>
              <w:left w:w="108" w:type="dxa"/>
              <w:right w:w="108" w:type="dxa"/>
            </w:tcMar>
            <w:vAlign w:val="center"/>
          </w:tcPr>
          <w:p w14:paraId="423878D1">
            <w:pPr>
              <w:widowControl/>
              <w:spacing w:line="300" w:lineRule="exact"/>
              <w:rPr>
                <w:rFonts w:ascii="黑体" w:hAnsi="黑体" w:eastAsia="黑体"/>
                <w:kern w:val="0"/>
                <w:szCs w:val="21"/>
              </w:rPr>
            </w:pPr>
            <w:r>
              <w:rPr>
                <w:rFonts w:hint="eastAsia" w:ascii="黑体" w:hAnsi="黑体" w:eastAsia="黑体"/>
                <w:kern w:val="0"/>
                <w:szCs w:val="21"/>
              </w:rPr>
              <w:t>四、结转下年度继续办理</w:t>
            </w:r>
          </w:p>
        </w:tc>
        <w:tc>
          <w:tcPr>
            <w:tcW w:w="747" w:type="dxa"/>
            <w:noWrap w:val="0"/>
            <w:tcMar>
              <w:left w:w="108" w:type="dxa"/>
              <w:right w:w="108" w:type="dxa"/>
            </w:tcMar>
            <w:vAlign w:val="center"/>
          </w:tcPr>
          <w:p w14:paraId="3CD4D3F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000000" w:themeColor="text1"/>
                <w:szCs w:val="21"/>
                <w:lang w:val="en-US"/>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40" w:type="dxa"/>
            <w:gridSpan w:val="2"/>
            <w:noWrap w:val="0"/>
            <w:tcMar>
              <w:left w:w="108" w:type="dxa"/>
              <w:right w:w="108" w:type="dxa"/>
            </w:tcMar>
            <w:vAlign w:val="center"/>
          </w:tcPr>
          <w:p w14:paraId="19E5DED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40" w:type="dxa"/>
            <w:gridSpan w:val="2"/>
            <w:noWrap w:val="0"/>
            <w:tcMar>
              <w:left w:w="108" w:type="dxa"/>
              <w:right w:w="108" w:type="dxa"/>
            </w:tcMar>
            <w:vAlign w:val="center"/>
          </w:tcPr>
          <w:p w14:paraId="0435695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20" w:type="dxa"/>
            <w:noWrap w:val="0"/>
            <w:tcMar>
              <w:left w:w="108" w:type="dxa"/>
              <w:right w:w="108" w:type="dxa"/>
            </w:tcMar>
            <w:vAlign w:val="center"/>
          </w:tcPr>
          <w:p w14:paraId="3E3E97F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675" w:type="dxa"/>
            <w:noWrap w:val="0"/>
            <w:tcMar>
              <w:left w:w="108" w:type="dxa"/>
              <w:right w:w="108" w:type="dxa"/>
            </w:tcMar>
            <w:vAlign w:val="center"/>
          </w:tcPr>
          <w:p w14:paraId="20F7FC2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25" w:type="dxa"/>
            <w:noWrap w:val="0"/>
            <w:tcMar>
              <w:left w:w="108" w:type="dxa"/>
              <w:right w:w="108" w:type="dxa"/>
            </w:tcMar>
            <w:vAlign w:val="center"/>
          </w:tcPr>
          <w:p w14:paraId="611E949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01" w:type="dxa"/>
            <w:gridSpan w:val="2"/>
            <w:noWrap w:val="0"/>
            <w:tcMar>
              <w:left w:w="108" w:type="dxa"/>
              <w:right w:w="108" w:type="dxa"/>
            </w:tcMar>
            <w:vAlign w:val="center"/>
          </w:tcPr>
          <w:p w14:paraId="436EF34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lang w:val="en-US"/>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r>
    </w:tbl>
    <w:p w14:paraId="72F1BE76">
      <w:pPr>
        <w:widowControl/>
        <w:jc w:val="left"/>
        <w:rPr>
          <w:rFonts w:hint="eastAsia" w:ascii="仿宋_GB2312" w:hAnsi="Calibri" w:eastAsia="仿宋_GB2312" w:cs="Calibri"/>
          <w:color w:val="FF0000"/>
          <w:kern w:val="0"/>
          <w:szCs w:val="21"/>
          <w:lang w:val="en-US" w:eastAsia="zh-CN"/>
        </w:rPr>
      </w:pPr>
    </w:p>
    <w:p w14:paraId="0E4A6410">
      <w:pPr>
        <w:ind w:firstLine="640" w:firstLineChars="200"/>
        <w:rPr>
          <w:rFonts w:ascii="仿宋_GB2312" w:eastAsia="仿宋_GB2312"/>
          <w:sz w:val="32"/>
          <w:szCs w:val="32"/>
        </w:rPr>
      </w:pPr>
      <w:r>
        <w:rPr>
          <w:rFonts w:hint="eastAsia" w:ascii="黑体" w:hAnsi="黑体" w:eastAsia="黑体" w:cs="黑体"/>
          <w:b w:val="0"/>
          <w:bCs/>
          <w:i w:val="0"/>
          <w:caps w:val="0"/>
          <w:color w:val="333333"/>
          <w:spacing w:val="0"/>
          <w:kern w:val="0"/>
          <w:sz w:val="32"/>
          <w:szCs w:val="32"/>
          <w:shd w:val="clear" w:color="auto" w:fill="FFFFFF"/>
          <w:lang w:val="en-US" w:eastAsia="zh-CN" w:bidi="ar"/>
        </w:rPr>
        <w:t>四、政府信息公开行政复议、行政诉讼情况</w:t>
      </w:r>
    </w:p>
    <w:tbl>
      <w:tblPr>
        <w:tblStyle w:val="3"/>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14:paraId="78DD412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21D39FB0">
            <w:pPr>
              <w:widowControl/>
              <w:jc w:val="center"/>
              <w:rPr>
                <w:rFonts w:ascii="黑体" w:hAnsi="黑体" w:eastAsia="黑体"/>
              </w:rPr>
            </w:pPr>
            <w:r>
              <w:rPr>
                <w:rFonts w:ascii="黑体" w:hAnsi="黑体" w:eastAsia="黑体"/>
                <w:kern w:val="0"/>
                <w:sz w:val="20"/>
                <w:szCs w:val="20"/>
              </w:rPr>
              <w:t>行政复议</w:t>
            </w:r>
          </w:p>
        </w:tc>
        <w:tc>
          <w:tcPr>
            <w:tcW w:w="5997" w:type="dxa"/>
            <w:gridSpan w:val="10"/>
            <w:tcBorders>
              <w:top w:val="single" w:color="auto" w:sz="8" w:space="0"/>
              <w:left w:val="nil"/>
              <w:bottom w:val="single" w:color="auto" w:sz="8" w:space="0"/>
              <w:right w:val="single" w:color="auto" w:sz="8" w:space="0"/>
            </w:tcBorders>
            <w:noWrap w:val="0"/>
            <w:tcMar>
              <w:left w:w="108" w:type="dxa"/>
              <w:right w:w="108" w:type="dxa"/>
            </w:tcMar>
            <w:vAlign w:val="center"/>
          </w:tcPr>
          <w:p w14:paraId="7047E56E">
            <w:pPr>
              <w:widowControl/>
              <w:jc w:val="center"/>
              <w:rPr>
                <w:rFonts w:ascii="黑体" w:hAnsi="黑体" w:eastAsia="黑体"/>
              </w:rPr>
            </w:pPr>
            <w:r>
              <w:rPr>
                <w:rFonts w:ascii="黑体" w:hAnsi="黑体" w:eastAsia="黑体"/>
                <w:kern w:val="0"/>
                <w:sz w:val="20"/>
                <w:szCs w:val="20"/>
              </w:rPr>
              <w:t>行政诉讼</w:t>
            </w:r>
          </w:p>
        </w:tc>
      </w:tr>
      <w:tr w14:paraId="2CBBED5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 w:hRule="atLeast"/>
          <w:jc w:val="center"/>
        </w:trPr>
        <w:tc>
          <w:tcPr>
            <w:tcW w:w="604"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14:paraId="33F20F16">
            <w:pPr>
              <w:widowControl/>
              <w:ind w:left="-149" w:leftChars="-71" w:right="-170" w:rightChars="-81"/>
              <w:jc w:val="center"/>
              <w:rPr>
                <w:rFonts w:ascii="黑体" w:hAnsi="黑体" w:eastAsia="黑体"/>
                <w:kern w:val="0"/>
                <w:sz w:val="20"/>
                <w:szCs w:val="20"/>
              </w:rPr>
            </w:pPr>
            <w:r>
              <w:rPr>
                <w:rFonts w:ascii="黑体" w:hAnsi="黑体" w:eastAsia="黑体"/>
                <w:kern w:val="0"/>
                <w:sz w:val="20"/>
                <w:szCs w:val="20"/>
              </w:rPr>
              <w:t>结果</w:t>
            </w:r>
          </w:p>
          <w:p w14:paraId="788129CF">
            <w:pPr>
              <w:widowControl/>
              <w:ind w:left="-149" w:leftChars="-71" w:right="-170" w:rightChars="-81"/>
              <w:jc w:val="center"/>
              <w:rPr>
                <w:rFonts w:ascii="黑体" w:hAnsi="黑体" w:eastAsia="黑体"/>
              </w:rPr>
            </w:pPr>
            <w:r>
              <w:rPr>
                <w:rFonts w:ascii="黑体" w:hAnsi="黑体" w:eastAsia="黑体"/>
                <w:kern w:val="0"/>
                <w:sz w:val="20"/>
                <w:szCs w:val="20"/>
              </w:rPr>
              <w:t>维持</w:t>
            </w:r>
          </w:p>
        </w:tc>
        <w:tc>
          <w:tcPr>
            <w:tcW w:w="604" w:type="dxa"/>
            <w:vMerge w:val="restart"/>
            <w:tcBorders>
              <w:top w:val="nil"/>
              <w:left w:val="nil"/>
              <w:bottom w:val="single" w:color="auto" w:sz="8" w:space="0"/>
              <w:right w:val="single" w:color="auto" w:sz="8" w:space="0"/>
            </w:tcBorders>
            <w:noWrap w:val="0"/>
            <w:tcMar>
              <w:left w:w="108" w:type="dxa"/>
              <w:right w:w="108" w:type="dxa"/>
            </w:tcMar>
            <w:vAlign w:val="center"/>
          </w:tcPr>
          <w:p w14:paraId="5C75DA96">
            <w:pPr>
              <w:widowControl/>
              <w:ind w:left="-43" w:leftChars="-21" w:right="-132" w:rightChars="-63" w:hanging="1"/>
              <w:jc w:val="center"/>
              <w:rPr>
                <w:rFonts w:ascii="黑体" w:hAnsi="黑体" w:eastAsia="黑体"/>
              </w:rPr>
            </w:pPr>
            <w:r>
              <w:rPr>
                <w:rFonts w:ascii="黑体" w:hAnsi="黑体" w:eastAsia="黑体"/>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14:paraId="006F72E0">
            <w:pPr>
              <w:widowControl/>
              <w:ind w:left="-82" w:leftChars="-39" w:right="-97" w:rightChars="-46"/>
              <w:jc w:val="center"/>
              <w:rPr>
                <w:rFonts w:ascii="黑体" w:hAnsi="黑体" w:eastAsia="黑体"/>
              </w:rPr>
            </w:pPr>
            <w:r>
              <w:rPr>
                <w:rFonts w:ascii="黑体" w:hAnsi="黑体" w:eastAsia="黑体"/>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14:paraId="3BC8C344">
            <w:pPr>
              <w:widowControl/>
              <w:ind w:left="-118" w:leftChars="-56" w:right="-118" w:rightChars="-56"/>
              <w:jc w:val="center"/>
              <w:rPr>
                <w:rFonts w:ascii="黑体" w:hAnsi="黑体" w:eastAsia="黑体"/>
                <w:kern w:val="0"/>
                <w:sz w:val="20"/>
                <w:szCs w:val="20"/>
              </w:rPr>
            </w:pPr>
            <w:r>
              <w:rPr>
                <w:rFonts w:ascii="黑体" w:hAnsi="黑体" w:eastAsia="黑体"/>
                <w:kern w:val="0"/>
                <w:sz w:val="20"/>
                <w:szCs w:val="20"/>
              </w:rPr>
              <w:t>尚未</w:t>
            </w:r>
          </w:p>
          <w:p w14:paraId="6756C5B7">
            <w:pPr>
              <w:widowControl/>
              <w:ind w:left="-118" w:leftChars="-56" w:right="-118" w:rightChars="-56"/>
              <w:jc w:val="center"/>
              <w:rPr>
                <w:rFonts w:ascii="黑体" w:hAnsi="黑体" w:eastAsia="黑体"/>
              </w:rPr>
            </w:pPr>
            <w:r>
              <w:rPr>
                <w:rFonts w:ascii="黑体" w:hAnsi="黑体" w:eastAsia="黑体"/>
                <w:kern w:val="0"/>
                <w:sz w:val="20"/>
                <w:szCs w:val="20"/>
              </w:rPr>
              <w:t>审结</w:t>
            </w:r>
          </w:p>
        </w:tc>
        <w:tc>
          <w:tcPr>
            <w:tcW w:w="658"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14:paraId="2DE69A68">
            <w:pPr>
              <w:widowControl/>
              <w:spacing w:line="320" w:lineRule="exact"/>
              <w:jc w:val="center"/>
              <w:rPr>
                <w:rFonts w:ascii="黑体" w:hAnsi="黑体" w:eastAsia="黑体"/>
                <w:kern w:val="0"/>
                <w:sz w:val="20"/>
                <w:szCs w:val="20"/>
              </w:rPr>
            </w:pPr>
            <w:r>
              <w:rPr>
                <w:rFonts w:ascii="黑体" w:hAnsi="黑体" w:eastAsia="黑体"/>
                <w:kern w:val="0"/>
                <w:sz w:val="20"/>
                <w:szCs w:val="20"/>
              </w:rPr>
              <w:t>总</w:t>
            </w:r>
          </w:p>
          <w:p w14:paraId="34D9B1B4">
            <w:pPr>
              <w:widowControl/>
              <w:spacing w:line="320" w:lineRule="exact"/>
              <w:jc w:val="center"/>
              <w:rPr>
                <w:rFonts w:ascii="黑体" w:hAnsi="黑体" w:eastAsia="黑体"/>
              </w:rPr>
            </w:pPr>
            <w:r>
              <w:rPr>
                <w:rFonts w:ascii="黑体" w:hAnsi="黑体" w:eastAsia="黑体"/>
                <w:kern w:val="0"/>
                <w:sz w:val="20"/>
                <w:szCs w:val="20"/>
              </w:rPr>
              <w:t>计</w:t>
            </w:r>
          </w:p>
        </w:tc>
        <w:tc>
          <w:tcPr>
            <w:tcW w:w="2970"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14:paraId="190B8A58">
            <w:pPr>
              <w:widowControl/>
              <w:jc w:val="center"/>
              <w:rPr>
                <w:rFonts w:ascii="黑体" w:hAnsi="黑体" w:eastAsia="黑体"/>
              </w:rPr>
            </w:pPr>
            <w:r>
              <w:rPr>
                <w:rFonts w:ascii="黑体" w:hAnsi="黑体" w:eastAsia="黑体"/>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14:paraId="2AC0B506">
            <w:pPr>
              <w:widowControl/>
              <w:jc w:val="center"/>
              <w:rPr>
                <w:rFonts w:ascii="黑体" w:hAnsi="黑体" w:eastAsia="黑体"/>
              </w:rPr>
            </w:pPr>
            <w:r>
              <w:rPr>
                <w:rFonts w:ascii="黑体" w:hAnsi="黑体" w:eastAsia="黑体"/>
                <w:kern w:val="0"/>
                <w:sz w:val="20"/>
                <w:szCs w:val="20"/>
              </w:rPr>
              <w:t>复议后起诉</w:t>
            </w:r>
          </w:p>
        </w:tc>
      </w:tr>
      <w:tr w14:paraId="2430444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4B0995AB">
            <w:pPr>
              <w:rPr>
                <w:rFonts w:ascii="黑体" w:hAnsi="黑体" w:eastAsia="黑体"/>
                <w:sz w:val="24"/>
              </w:rPr>
            </w:pPr>
          </w:p>
        </w:tc>
        <w:tc>
          <w:tcPr>
            <w:tcW w:w="604" w:type="dxa"/>
            <w:vMerge w:val="continue"/>
            <w:tcBorders>
              <w:top w:val="nil"/>
              <w:left w:val="nil"/>
              <w:bottom w:val="single" w:color="auto" w:sz="8" w:space="0"/>
              <w:right w:val="single" w:color="auto" w:sz="8" w:space="0"/>
            </w:tcBorders>
            <w:noWrap w:val="0"/>
            <w:tcMar>
              <w:left w:w="108" w:type="dxa"/>
              <w:right w:w="108" w:type="dxa"/>
            </w:tcMar>
            <w:vAlign w:val="center"/>
          </w:tcPr>
          <w:p w14:paraId="5111ED94">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14:paraId="21F1EDE6">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14:paraId="0B2BFF24">
            <w:pPr>
              <w:rPr>
                <w:rFonts w:ascii="黑体" w:hAnsi="黑体" w:eastAsia="黑体"/>
                <w:sz w:val="24"/>
              </w:rPr>
            </w:pPr>
          </w:p>
        </w:tc>
        <w:tc>
          <w:tcPr>
            <w:tcW w:w="658"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14:paraId="5F09FC54">
            <w:pPr>
              <w:rPr>
                <w:rFonts w:ascii="黑体" w:hAnsi="黑体" w:eastAsia="黑体"/>
                <w:sz w:val="24"/>
              </w:rPr>
            </w:pPr>
          </w:p>
        </w:tc>
        <w:tc>
          <w:tcPr>
            <w:tcW w:w="550" w:type="dxa"/>
            <w:tcBorders>
              <w:top w:val="nil"/>
              <w:left w:val="nil"/>
              <w:bottom w:val="single" w:color="auto" w:sz="8" w:space="0"/>
              <w:right w:val="single" w:color="auto" w:sz="8" w:space="0"/>
            </w:tcBorders>
            <w:noWrap w:val="0"/>
            <w:tcMar>
              <w:left w:w="108" w:type="dxa"/>
              <w:right w:w="108" w:type="dxa"/>
            </w:tcMar>
            <w:vAlign w:val="center"/>
          </w:tcPr>
          <w:p w14:paraId="66C8192C">
            <w:pPr>
              <w:widowControl/>
              <w:ind w:left="-105" w:leftChars="-50" w:right="-126" w:rightChars="-60"/>
              <w:jc w:val="center"/>
              <w:rPr>
                <w:rFonts w:ascii="黑体" w:hAnsi="黑体" w:eastAsia="黑体"/>
              </w:rPr>
            </w:pPr>
            <w:r>
              <w:rPr>
                <w:rFonts w:ascii="黑体" w:hAnsi="黑体" w:eastAsia="黑体"/>
                <w:kern w:val="0"/>
                <w:sz w:val="20"/>
                <w:szCs w:val="20"/>
              </w:rPr>
              <w:t>结果维持</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6D9EE620">
            <w:pPr>
              <w:widowControl/>
              <w:ind w:left="-86" w:leftChars="-41" w:right="-88" w:rightChars="-42"/>
              <w:jc w:val="center"/>
              <w:rPr>
                <w:rFonts w:ascii="黑体" w:hAnsi="黑体" w:eastAsia="黑体"/>
              </w:rPr>
            </w:pPr>
            <w:r>
              <w:rPr>
                <w:rFonts w:ascii="黑体" w:hAnsi="黑体" w:eastAsia="黑体"/>
                <w:kern w:val="0"/>
                <w:sz w:val="20"/>
                <w:szCs w:val="20"/>
              </w:rPr>
              <w:t>结果纠正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7A13875A">
            <w:pPr>
              <w:widowControl/>
              <w:ind w:left="-126" w:leftChars="-60" w:right="-136" w:rightChars="-65"/>
              <w:jc w:val="center"/>
              <w:rPr>
                <w:rFonts w:ascii="黑体" w:hAnsi="黑体" w:eastAsia="黑体"/>
                <w:kern w:val="0"/>
                <w:sz w:val="20"/>
                <w:szCs w:val="20"/>
              </w:rPr>
            </w:pPr>
            <w:r>
              <w:rPr>
                <w:rFonts w:ascii="黑体" w:hAnsi="黑体" w:eastAsia="黑体"/>
                <w:kern w:val="0"/>
                <w:sz w:val="20"/>
                <w:szCs w:val="20"/>
              </w:rPr>
              <w:t>其他</w:t>
            </w:r>
          </w:p>
          <w:p w14:paraId="0B9AA0CE">
            <w:pPr>
              <w:widowControl/>
              <w:ind w:left="-126" w:leftChars="-60" w:right="-136" w:rightChars="-65"/>
              <w:jc w:val="center"/>
              <w:rPr>
                <w:rFonts w:ascii="黑体" w:hAnsi="黑体" w:eastAsia="黑体"/>
              </w:rPr>
            </w:pPr>
            <w:r>
              <w:rPr>
                <w:rFonts w:ascii="黑体" w:hAnsi="黑体" w:eastAsia="黑体"/>
                <w:kern w:val="0"/>
                <w:sz w:val="20"/>
                <w:szCs w:val="20"/>
              </w:rPr>
              <w:t>结果</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19F468B8">
            <w:pPr>
              <w:widowControl/>
              <w:ind w:left="-164" w:leftChars="-78" w:right="-153" w:rightChars="-73"/>
              <w:jc w:val="center"/>
              <w:rPr>
                <w:rFonts w:ascii="黑体" w:hAnsi="黑体" w:eastAsia="黑体"/>
                <w:kern w:val="0"/>
                <w:sz w:val="20"/>
                <w:szCs w:val="20"/>
              </w:rPr>
            </w:pPr>
            <w:r>
              <w:rPr>
                <w:rFonts w:ascii="黑体" w:hAnsi="黑体" w:eastAsia="黑体"/>
                <w:kern w:val="0"/>
                <w:sz w:val="20"/>
                <w:szCs w:val="20"/>
              </w:rPr>
              <w:t>尚未</w:t>
            </w:r>
          </w:p>
          <w:p w14:paraId="060DCDAC">
            <w:pPr>
              <w:widowControl/>
              <w:ind w:left="-164" w:leftChars="-78" w:right="-153" w:rightChars="-73"/>
              <w:jc w:val="center"/>
              <w:rPr>
                <w:rFonts w:ascii="黑体" w:hAnsi="黑体" w:eastAsia="黑体"/>
              </w:rPr>
            </w:pPr>
            <w:r>
              <w:rPr>
                <w:rFonts w:ascii="黑体" w:hAnsi="黑体" w:eastAsia="黑体"/>
                <w:kern w:val="0"/>
                <w:sz w:val="20"/>
                <w:szCs w:val="20"/>
              </w:rPr>
              <w:t>审结</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3B0F6A15">
            <w:pPr>
              <w:widowControl/>
              <w:jc w:val="center"/>
              <w:rPr>
                <w:rFonts w:ascii="黑体" w:hAnsi="黑体" w:eastAsia="黑体"/>
              </w:rPr>
            </w:pPr>
            <w:r>
              <w:rPr>
                <w:rFonts w:ascii="黑体" w:hAnsi="黑体" w:eastAsia="黑体"/>
                <w:kern w:val="0"/>
                <w:sz w:val="20"/>
                <w:szCs w:val="20"/>
              </w:rPr>
              <w:t>总计</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611C556D">
            <w:pPr>
              <w:widowControl/>
              <w:ind w:left="-99" w:leftChars="-47" w:right="-78" w:rightChars="-37"/>
              <w:jc w:val="center"/>
              <w:rPr>
                <w:rFonts w:ascii="黑体" w:hAnsi="黑体" w:eastAsia="黑体"/>
              </w:rPr>
            </w:pPr>
            <w:r>
              <w:rPr>
                <w:rFonts w:ascii="黑体" w:hAnsi="黑体" w:eastAsia="黑体"/>
                <w:kern w:val="0"/>
                <w:sz w:val="20"/>
                <w:szCs w:val="20"/>
              </w:rPr>
              <w:t>结果维持</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4D5AC58B">
            <w:pPr>
              <w:widowControl/>
              <w:ind w:left="-136" w:leftChars="-65" w:right="-124" w:rightChars="-59"/>
              <w:jc w:val="center"/>
              <w:rPr>
                <w:rFonts w:ascii="黑体" w:hAnsi="黑体" w:eastAsia="黑体"/>
                <w:kern w:val="0"/>
                <w:sz w:val="20"/>
                <w:szCs w:val="20"/>
              </w:rPr>
            </w:pPr>
            <w:r>
              <w:rPr>
                <w:rFonts w:ascii="黑体" w:hAnsi="黑体" w:eastAsia="黑体"/>
                <w:kern w:val="0"/>
                <w:sz w:val="20"/>
                <w:szCs w:val="20"/>
              </w:rPr>
              <w:t>结果</w:t>
            </w:r>
          </w:p>
          <w:p w14:paraId="166C4E8B">
            <w:pPr>
              <w:widowControl/>
              <w:ind w:left="-136" w:leftChars="-65" w:right="-124" w:rightChars="-59"/>
              <w:jc w:val="center"/>
              <w:rPr>
                <w:rFonts w:ascii="黑体" w:hAnsi="黑体" w:eastAsia="黑体"/>
              </w:rPr>
            </w:pPr>
            <w:r>
              <w:rPr>
                <w:rFonts w:ascii="黑体" w:hAnsi="黑体" w:eastAsia="黑体"/>
                <w:kern w:val="0"/>
                <w:sz w:val="20"/>
                <w:szCs w:val="20"/>
              </w:rPr>
              <w:t>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0CD368A4">
            <w:pPr>
              <w:widowControl/>
              <w:ind w:left="-173" w:leftChars="-83" w:right="-134" w:rightChars="-64" w:hanging="1"/>
              <w:jc w:val="center"/>
              <w:rPr>
                <w:rFonts w:ascii="黑体" w:hAnsi="黑体" w:eastAsia="黑体"/>
                <w:kern w:val="0"/>
                <w:sz w:val="20"/>
                <w:szCs w:val="20"/>
              </w:rPr>
            </w:pPr>
            <w:r>
              <w:rPr>
                <w:rFonts w:ascii="黑体" w:hAnsi="黑体" w:eastAsia="黑体"/>
                <w:kern w:val="0"/>
                <w:sz w:val="20"/>
                <w:szCs w:val="20"/>
              </w:rPr>
              <w:t>其他</w:t>
            </w:r>
          </w:p>
          <w:p w14:paraId="601EA80A">
            <w:pPr>
              <w:widowControl/>
              <w:ind w:left="-173" w:leftChars="-83" w:right="-134" w:rightChars="-64" w:hanging="1"/>
              <w:jc w:val="center"/>
              <w:rPr>
                <w:rFonts w:ascii="黑体" w:hAnsi="黑体" w:eastAsia="黑体"/>
              </w:rPr>
            </w:pPr>
            <w:r>
              <w:rPr>
                <w:rFonts w:ascii="黑体" w:hAnsi="黑体" w:eastAsia="黑体"/>
                <w:kern w:val="0"/>
                <w:sz w:val="20"/>
                <w:szCs w:val="20"/>
              </w:rPr>
              <w:t>结果</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14:paraId="71803D8A">
            <w:pPr>
              <w:widowControl/>
              <w:ind w:left="-67" w:leftChars="-33" w:right="-105" w:rightChars="-50" w:hanging="2" w:hangingChars="1"/>
              <w:jc w:val="center"/>
              <w:rPr>
                <w:rFonts w:ascii="黑体" w:hAnsi="黑体" w:eastAsia="黑体"/>
              </w:rPr>
            </w:pPr>
            <w:r>
              <w:rPr>
                <w:rFonts w:ascii="黑体" w:hAnsi="黑体" w:eastAsia="黑体"/>
                <w:kern w:val="0"/>
                <w:sz w:val="20"/>
                <w:szCs w:val="20"/>
              </w:rPr>
              <w:t>尚未审结</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14:paraId="79EBA269">
            <w:pPr>
              <w:widowControl/>
              <w:jc w:val="center"/>
              <w:rPr>
                <w:rFonts w:ascii="黑体" w:hAnsi="黑体" w:eastAsia="黑体"/>
              </w:rPr>
            </w:pPr>
            <w:r>
              <w:rPr>
                <w:rFonts w:ascii="黑体" w:hAnsi="黑体" w:eastAsia="黑体"/>
                <w:kern w:val="0"/>
                <w:sz w:val="20"/>
                <w:szCs w:val="20"/>
              </w:rPr>
              <w:t>总计</w:t>
            </w:r>
          </w:p>
        </w:tc>
      </w:tr>
      <w:tr w14:paraId="5236FB2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noWrap w:val="0"/>
            <w:tcMar>
              <w:left w:w="108" w:type="dxa"/>
              <w:right w:w="108" w:type="dxa"/>
            </w:tcMar>
            <w:vAlign w:val="center"/>
          </w:tcPr>
          <w:p w14:paraId="1E977AD9">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14:paraId="7E782D0C">
            <w:pPr>
              <w:widowControl/>
              <w:spacing w:after="180"/>
              <w:jc w:val="center"/>
              <w:rPr>
                <w:rFonts w:ascii="Times New Roman" w:hAnsi="Times New Roma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14:paraId="364A00DF">
            <w:pPr>
              <w:widowControl/>
              <w:spacing w:after="180"/>
              <w:jc w:val="center"/>
              <w:rPr>
                <w:rFonts w:ascii="Times New Roman" w:hAnsi="Times New Roma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14:paraId="1490483C">
            <w:pPr>
              <w:widowControl/>
              <w:spacing w:after="180"/>
              <w:jc w:val="center"/>
              <w:rPr>
                <w:rFonts w:ascii="Times New Roman" w:hAnsi="Times New Roman"/>
              </w:rPr>
            </w:pPr>
            <w:r>
              <w:rPr>
                <w:rFonts w:hint="eastAsia" w:ascii="Times New Roman" w:hAnsi="Times New Roman"/>
                <w:lang w:val="en-US" w:eastAsia="zh-CN"/>
              </w:rPr>
              <w:t>0</w:t>
            </w:r>
          </w:p>
        </w:tc>
        <w:tc>
          <w:tcPr>
            <w:tcW w:w="658" w:type="dxa"/>
            <w:tcBorders>
              <w:top w:val="nil"/>
              <w:left w:val="nil"/>
              <w:bottom w:val="single" w:color="auto" w:sz="8" w:space="0"/>
              <w:right w:val="single" w:color="auto" w:sz="8" w:space="0"/>
            </w:tcBorders>
            <w:noWrap w:val="0"/>
            <w:tcMar>
              <w:left w:w="108" w:type="dxa"/>
              <w:right w:w="108" w:type="dxa"/>
            </w:tcMar>
            <w:vAlign w:val="center"/>
          </w:tcPr>
          <w:p w14:paraId="23916D5D">
            <w:pPr>
              <w:widowControl/>
              <w:spacing w:after="180"/>
              <w:jc w:val="center"/>
              <w:rPr>
                <w:rFonts w:ascii="Times New Roman" w:hAnsi="Times New Roman"/>
              </w:rPr>
            </w:pPr>
            <w:r>
              <w:rPr>
                <w:rFonts w:hint="eastAsia" w:ascii="Times New Roman" w:hAnsi="Times New Roman"/>
                <w:lang w:val="en-US" w:eastAsia="zh-CN"/>
              </w:rPr>
              <w:t>0</w:t>
            </w:r>
          </w:p>
        </w:tc>
        <w:tc>
          <w:tcPr>
            <w:tcW w:w="550" w:type="dxa"/>
            <w:tcBorders>
              <w:top w:val="nil"/>
              <w:left w:val="nil"/>
              <w:bottom w:val="single" w:color="auto" w:sz="8" w:space="0"/>
              <w:right w:val="single" w:color="auto" w:sz="8" w:space="0"/>
            </w:tcBorders>
            <w:noWrap w:val="0"/>
            <w:tcMar>
              <w:left w:w="108" w:type="dxa"/>
              <w:right w:w="108" w:type="dxa"/>
            </w:tcMar>
            <w:vAlign w:val="center"/>
          </w:tcPr>
          <w:p w14:paraId="4378B300">
            <w:pPr>
              <w:widowControl/>
              <w:spacing w:after="180"/>
              <w:jc w:val="center"/>
              <w:rPr>
                <w:rFonts w:ascii="Times New Roman" w:hAnsi="Times New Roma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291D9149">
            <w:pPr>
              <w:widowControl/>
              <w:spacing w:after="180"/>
              <w:jc w:val="center"/>
              <w:rPr>
                <w:rFonts w:ascii="Times New Roman" w:hAnsi="Times New Roma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549E7DA9">
            <w:pPr>
              <w:widowControl/>
              <w:spacing w:after="180"/>
              <w:jc w:val="center"/>
              <w:rPr>
                <w:rFonts w:ascii="Times New Roman" w:hAnsi="Times New Roma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173601F7">
            <w:pPr>
              <w:widowControl/>
              <w:spacing w:after="180"/>
              <w:jc w:val="center"/>
              <w:rPr>
                <w:rFonts w:ascii="Times New Roman" w:hAnsi="Times New Roma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7D9012A3">
            <w:pPr>
              <w:widowControl/>
              <w:spacing w:after="180"/>
              <w:jc w:val="center"/>
              <w:rPr>
                <w:rFonts w:ascii="Times New Roman" w:hAnsi="Times New Roma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3F90FE76">
            <w:pPr>
              <w:widowControl/>
              <w:spacing w:after="180"/>
              <w:rPr>
                <w:rFonts w:ascii="Times New Roman" w:hAnsi="Times New Roma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4767F06F">
            <w:pPr>
              <w:widowControl/>
              <w:spacing w:after="180"/>
              <w:jc w:val="center"/>
              <w:rPr>
                <w:rFonts w:ascii="Times New Roman" w:hAnsi="Times New Roma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12EF5BB2">
            <w:pPr>
              <w:widowControl/>
              <w:spacing w:after="180"/>
              <w:jc w:val="center"/>
              <w:rPr>
                <w:rFonts w:ascii="Times New Roman" w:hAnsi="Times New Roman"/>
              </w:rPr>
            </w:pPr>
            <w:r>
              <w:rPr>
                <w:rFonts w:hint="eastAsia" w:ascii="Times New Roman" w:hAnsi="Times New Roman"/>
                <w:lang w:val="en-US" w:eastAsia="zh-CN"/>
              </w:rPr>
              <w:t>0</w:t>
            </w:r>
          </w:p>
        </w:tc>
        <w:tc>
          <w:tcPr>
            <w:tcW w:w="606" w:type="dxa"/>
            <w:tcBorders>
              <w:top w:val="nil"/>
              <w:left w:val="nil"/>
              <w:bottom w:val="single" w:color="auto" w:sz="8" w:space="0"/>
              <w:right w:val="single" w:color="auto" w:sz="8" w:space="0"/>
            </w:tcBorders>
            <w:noWrap w:val="0"/>
            <w:tcMar>
              <w:left w:w="108" w:type="dxa"/>
              <w:right w:w="108" w:type="dxa"/>
            </w:tcMar>
            <w:vAlign w:val="center"/>
          </w:tcPr>
          <w:p w14:paraId="6484D907">
            <w:pPr>
              <w:widowControl/>
              <w:spacing w:after="180"/>
              <w:jc w:val="center"/>
              <w:rPr>
                <w:rFonts w:ascii="Times New Roman" w:hAnsi="Times New Roman"/>
              </w:rPr>
            </w:pPr>
            <w:r>
              <w:rPr>
                <w:rFonts w:hint="eastAsia" w:ascii="Times New Roman" w:hAnsi="Times New Roman"/>
                <w:lang w:val="en-US" w:eastAsia="zh-CN"/>
              </w:rPr>
              <w:t>0</w:t>
            </w:r>
          </w:p>
        </w:tc>
        <w:tc>
          <w:tcPr>
            <w:tcW w:w="606" w:type="dxa"/>
            <w:tcBorders>
              <w:top w:val="nil"/>
              <w:left w:val="nil"/>
              <w:bottom w:val="single" w:color="auto" w:sz="8" w:space="0"/>
              <w:right w:val="single" w:color="auto" w:sz="8" w:space="0"/>
            </w:tcBorders>
            <w:noWrap w:val="0"/>
            <w:tcMar>
              <w:left w:w="108" w:type="dxa"/>
              <w:right w:w="108" w:type="dxa"/>
            </w:tcMar>
            <w:vAlign w:val="center"/>
          </w:tcPr>
          <w:p w14:paraId="4C017521">
            <w:pPr>
              <w:widowControl/>
              <w:spacing w:after="180"/>
              <w:jc w:val="center"/>
              <w:rPr>
                <w:rFonts w:ascii="Times New Roman" w:hAnsi="Times New Roman"/>
              </w:rPr>
            </w:pPr>
            <w:r>
              <w:rPr>
                <w:rFonts w:hint="eastAsia" w:ascii="Times New Roman" w:hAnsi="Times New Roman"/>
                <w:lang w:val="en-US" w:eastAsia="zh-CN"/>
              </w:rPr>
              <w:t>0</w:t>
            </w:r>
          </w:p>
        </w:tc>
      </w:tr>
    </w:tbl>
    <w:p w14:paraId="0E5E996F">
      <w:pPr>
        <w:widowControl/>
        <w:jc w:val="left"/>
        <w:rPr>
          <w:rFonts w:hint="eastAsia" w:ascii="仿宋_GB2312" w:hAnsi="Calibri" w:eastAsia="仿宋_GB2312" w:cs="Calibri"/>
          <w:color w:val="FF0000"/>
          <w:kern w:val="0"/>
          <w:szCs w:val="21"/>
          <w:lang w:val="en-US" w:eastAsia="zh-CN"/>
        </w:rPr>
      </w:pPr>
    </w:p>
    <w:p w14:paraId="7D4595E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firstLine="640" w:firstLineChars="200"/>
        <w:jc w:val="both"/>
        <w:rPr>
          <w:rFonts w:hint="eastAsia" w:ascii="黑体" w:hAnsi="黑体" w:eastAsia="黑体" w:cs="黑体"/>
          <w:b w:val="0"/>
          <w:bCs/>
          <w:i w:val="0"/>
          <w:caps w:val="0"/>
          <w:color w:val="333333"/>
          <w:spacing w:val="0"/>
          <w:kern w:val="0"/>
          <w:sz w:val="32"/>
          <w:szCs w:val="32"/>
          <w:shd w:val="clear" w:color="auto" w:fill="FFFFFF"/>
          <w:lang w:val="en-US" w:eastAsia="zh-CN" w:bidi="ar"/>
        </w:rPr>
      </w:pPr>
      <w:r>
        <w:rPr>
          <w:rFonts w:hint="eastAsia" w:ascii="黑体" w:hAnsi="黑体" w:eastAsia="黑体" w:cs="黑体"/>
          <w:b w:val="0"/>
          <w:bCs/>
          <w:i w:val="0"/>
          <w:caps w:val="0"/>
          <w:color w:val="333333"/>
          <w:spacing w:val="0"/>
          <w:kern w:val="0"/>
          <w:sz w:val="32"/>
          <w:szCs w:val="32"/>
          <w:shd w:val="clear" w:color="auto" w:fill="FFFFFF"/>
          <w:lang w:val="en-US" w:eastAsia="zh-CN" w:bidi="ar"/>
        </w:rPr>
        <w:t>五、存在的主要问题及改进情况</w:t>
      </w:r>
    </w:p>
    <w:p w14:paraId="2258D404">
      <w:pPr>
        <w:keepNext w:val="0"/>
        <w:keepLines w:val="0"/>
        <w:pageBreakBefore w:val="0"/>
        <w:widowControl/>
        <w:kinsoku/>
        <w:wordWrap/>
        <w:overflowPunct/>
        <w:topLinePunct w:val="0"/>
        <w:autoSpaceDE/>
        <w:autoSpaceDN/>
        <w:bidi w:val="0"/>
        <w:adjustRightInd/>
        <w:snapToGrid/>
        <w:spacing w:line="576" w:lineRule="exact"/>
        <w:ind w:firstLine="630"/>
        <w:jc w:val="left"/>
        <w:textAlignment w:val="auto"/>
        <w:rPr>
          <w:rFonts w:hint="default" w:ascii="仿宋_GB2312" w:hAnsi="宋体" w:eastAsia="仿宋_GB2312" w:cs="仿宋_GB2312"/>
          <w:i w:val="0"/>
          <w:iCs w:val="0"/>
          <w:caps w:val="0"/>
          <w:color w:val="000000"/>
          <w:spacing w:val="0"/>
          <w:sz w:val="31"/>
          <w:szCs w:val="31"/>
          <w:shd w:val="clear" w:fill="FFFFFF"/>
          <w:lang w:val="en-US" w:eastAsia="zh-CN"/>
        </w:rPr>
      </w:pPr>
      <w:r>
        <w:rPr>
          <w:rFonts w:hint="eastAsia" w:ascii="仿宋_GB2312" w:eastAsia="仿宋_GB2312"/>
          <w:b/>
          <w:bCs/>
          <w:sz w:val="32"/>
          <w:szCs w:val="32"/>
          <w:lang w:val="en-US" w:eastAsia="zh-CN"/>
        </w:rPr>
        <w:t>存在的主要问题：</w:t>
      </w:r>
      <w:r>
        <w:rPr>
          <w:rFonts w:hint="eastAsia" w:ascii="仿宋_GB2312" w:eastAsia="仿宋_GB2312"/>
          <w:sz w:val="32"/>
          <w:szCs w:val="32"/>
          <w:lang w:val="en-US" w:eastAsia="zh-CN"/>
        </w:rPr>
        <w:t>2024年，源泉镇政务公开工作取得新成效，但</w:t>
      </w:r>
      <w:r>
        <w:rPr>
          <w:rFonts w:hint="eastAsia" w:ascii="仿宋_GB2312" w:hAnsi="Calibri" w:eastAsia="仿宋_GB2312" w:cs="Times New Roman"/>
          <w:kern w:val="2"/>
          <w:sz w:val="32"/>
          <w:szCs w:val="32"/>
          <w:lang w:val="en-US" w:eastAsia="zh-CN" w:bidi="ar-SA"/>
        </w:rPr>
        <w:t>在开展政务公开工作过程中存在按部就班推动的多</w:t>
      </w:r>
      <w:r>
        <w:rPr>
          <w:rFonts w:hint="eastAsia" w:ascii="仿宋_GB2312" w:eastAsia="仿宋_GB2312" w:cs="Times New Roman"/>
          <w:kern w:val="2"/>
          <w:sz w:val="32"/>
          <w:szCs w:val="32"/>
          <w:lang w:val="en-US" w:eastAsia="zh-CN" w:bidi="ar-SA"/>
        </w:rPr>
        <w:t>，</w:t>
      </w:r>
      <w:r>
        <w:rPr>
          <w:rFonts w:hint="eastAsia" w:ascii="仿宋_GB2312" w:hAnsi="Calibri" w:eastAsia="仿宋_GB2312" w:cs="Times New Roman"/>
          <w:kern w:val="2"/>
          <w:sz w:val="32"/>
          <w:szCs w:val="32"/>
          <w:lang w:val="en-US" w:eastAsia="zh-CN" w:bidi="ar-SA"/>
        </w:rPr>
        <w:t>政务公开创新性不够</w:t>
      </w:r>
      <w:r>
        <w:rPr>
          <w:rFonts w:hint="eastAsia" w:ascii="仿宋_GB2312" w:eastAsia="仿宋_GB2312" w:cs="Times New Roman"/>
          <w:kern w:val="2"/>
          <w:sz w:val="32"/>
          <w:szCs w:val="32"/>
          <w:lang w:val="en-US" w:eastAsia="zh-CN" w:bidi="ar-SA"/>
        </w:rPr>
        <w:t>、</w:t>
      </w:r>
      <w:r>
        <w:rPr>
          <w:rFonts w:ascii="仿宋_GB2312" w:hAnsi="宋体" w:eastAsia="仿宋_GB2312" w:cs="仿宋_GB2312"/>
          <w:i w:val="0"/>
          <w:iCs w:val="0"/>
          <w:caps w:val="0"/>
          <w:color w:val="000000"/>
          <w:spacing w:val="0"/>
          <w:sz w:val="31"/>
          <w:szCs w:val="31"/>
          <w:shd w:val="clear" w:fill="FFFFFF"/>
        </w:rPr>
        <w:t>政策解读</w:t>
      </w:r>
      <w:r>
        <w:rPr>
          <w:rFonts w:hint="eastAsia" w:ascii="仿宋_GB2312" w:hAnsi="宋体" w:eastAsia="仿宋_GB2312" w:cs="仿宋_GB2312"/>
          <w:i w:val="0"/>
          <w:iCs w:val="0"/>
          <w:caps w:val="0"/>
          <w:color w:val="000000"/>
          <w:spacing w:val="0"/>
          <w:sz w:val="31"/>
          <w:szCs w:val="31"/>
          <w:shd w:val="clear" w:fill="FFFFFF"/>
          <w:lang w:val="en-US" w:eastAsia="zh-CN"/>
        </w:rPr>
        <w:t>质效不高等问题。</w:t>
      </w:r>
    </w:p>
    <w:p w14:paraId="44DA5CDA">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hint="default" w:ascii="仿宋_GB2312" w:eastAsia="仿宋_GB2312"/>
          <w:sz w:val="32"/>
          <w:szCs w:val="32"/>
          <w:lang w:val="en-US" w:eastAsia="zh-CN"/>
        </w:rPr>
      </w:pPr>
      <w:r>
        <w:rPr>
          <w:rFonts w:hint="eastAsia" w:ascii="仿宋_GB2312" w:eastAsia="仿宋_GB2312"/>
          <w:b/>
          <w:bCs/>
          <w:sz w:val="32"/>
          <w:szCs w:val="32"/>
          <w:lang w:val="en-US" w:eastAsia="zh-CN"/>
        </w:rPr>
        <w:t>改进情况：</w:t>
      </w:r>
      <w:r>
        <w:rPr>
          <w:rFonts w:hint="eastAsia" w:ascii="仿宋_GB2312" w:eastAsia="仿宋_GB2312"/>
          <w:sz w:val="32"/>
          <w:szCs w:val="32"/>
          <w:lang w:val="en-US" w:eastAsia="zh-CN"/>
        </w:rPr>
        <w:t>一是加强对政务公开工作人员的业务培训，将理论与实际工作结合，提升创新意识，鼓励创新工作，从工作机制、解读形式等方面实现创新突破。二是</w:t>
      </w:r>
      <w:r>
        <w:rPr>
          <w:rFonts w:hint="eastAsia" w:ascii="仿宋_GB2312" w:hAnsi="Calibri" w:eastAsia="仿宋_GB2312" w:cs="Times New Roman"/>
          <w:kern w:val="2"/>
          <w:sz w:val="32"/>
          <w:szCs w:val="32"/>
          <w:lang w:val="en-US" w:eastAsia="zh-CN" w:bidi="ar-SA"/>
        </w:rPr>
        <w:t>注重对政策背景、出台目的、重要举措等方面的实质性解读，以及政策发布后的延伸解读，全面提升解读工作质量，让群众更便捷地获取信息，真正看得懂、记得住、用得上。</w:t>
      </w:r>
    </w:p>
    <w:p w14:paraId="6A66D41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both"/>
        <w:rPr>
          <w:rFonts w:hint="eastAsia" w:ascii="宋体" w:hAnsi="宋体" w:eastAsia="宋体" w:cs="宋体"/>
          <w:i w:val="0"/>
          <w:caps w:val="0"/>
          <w:color w:val="0000FF"/>
          <w:spacing w:val="0"/>
          <w:kern w:val="2"/>
          <w:sz w:val="24"/>
          <w:szCs w:val="24"/>
          <w:shd w:val="clear" w:color="auto" w:fill="FFFFFF"/>
          <w:lang w:val="en-US" w:eastAsia="zh-CN" w:bidi="ar-SA"/>
        </w:rPr>
      </w:pPr>
    </w:p>
    <w:p w14:paraId="3BAEBE1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76" w:lineRule="exact"/>
        <w:ind w:left="0" w:right="0" w:firstLine="640" w:firstLineChars="200"/>
        <w:jc w:val="both"/>
        <w:textAlignment w:val="auto"/>
        <w:rPr>
          <w:rFonts w:hint="eastAsia" w:ascii="黑体" w:hAnsi="黑体" w:eastAsia="黑体" w:cs="黑体"/>
          <w:b w:val="0"/>
          <w:bCs/>
          <w:i w:val="0"/>
          <w:caps w:val="0"/>
          <w:color w:val="333333"/>
          <w:spacing w:val="0"/>
          <w:kern w:val="0"/>
          <w:sz w:val="32"/>
          <w:szCs w:val="32"/>
          <w:shd w:val="clear" w:color="auto" w:fill="FFFFFF"/>
          <w:lang w:val="en-US" w:eastAsia="zh-CN" w:bidi="ar"/>
        </w:rPr>
      </w:pPr>
      <w:r>
        <w:rPr>
          <w:rFonts w:hint="eastAsia" w:ascii="黑体" w:hAnsi="黑体" w:eastAsia="黑体" w:cs="黑体"/>
          <w:b w:val="0"/>
          <w:bCs/>
          <w:i w:val="0"/>
          <w:caps w:val="0"/>
          <w:color w:val="333333"/>
          <w:spacing w:val="0"/>
          <w:kern w:val="0"/>
          <w:sz w:val="32"/>
          <w:szCs w:val="32"/>
          <w:shd w:val="clear" w:color="auto" w:fill="FFFFFF"/>
          <w:lang w:val="en-US" w:eastAsia="zh-CN" w:bidi="ar"/>
        </w:rPr>
        <w:t>六、其他需要报告的事项</w:t>
      </w:r>
    </w:p>
    <w:p w14:paraId="21570A7E">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textAlignment w:val="auto"/>
        <w:rPr>
          <w:rFonts w:ascii="仿宋_GB2312" w:eastAsia="仿宋_GB2312"/>
          <w:sz w:val="32"/>
          <w:szCs w:val="32"/>
        </w:rPr>
      </w:pPr>
      <w:r>
        <w:rPr>
          <w:rFonts w:hint="eastAsia" w:ascii="楷体_GB2312" w:hAnsi="楷体_GB2312" w:eastAsia="楷体_GB2312" w:cs="楷体_GB2312"/>
          <w:color w:val="000000"/>
          <w:sz w:val="32"/>
          <w:szCs w:val="32"/>
          <w:lang w:val="en-US" w:eastAsia="zh-CN"/>
        </w:rPr>
        <w:t>1.依申请公开信息处理费收费情况</w:t>
      </w:r>
      <w:r>
        <w:rPr>
          <w:rFonts w:hint="eastAsia" w:ascii="仿宋_GB2312" w:eastAsia="仿宋_GB2312" w:cs="Times New Roman"/>
          <w:sz w:val="32"/>
          <w:szCs w:val="32"/>
          <w:lang w:val="en-US" w:eastAsia="zh-CN"/>
        </w:rPr>
        <w:t>。</w:t>
      </w:r>
      <w:r>
        <w:rPr>
          <w:rFonts w:hint="eastAsia" w:ascii="仿宋_GB2312" w:eastAsia="仿宋_GB2312"/>
          <w:sz w:val="32"/>
          <w:szCs w:val="32"/>
          <w:lang w:eastAsia="zh-CN"/>
        </w:rPr>
        <w:t>今年</w:t>
      </w:r>
      <w:r>
        <w:rPr>
          <w:rFonts w:hint="eastAsia" w:ascii="仿宋_GB2312" w:eastAsia="仿宋_GB2312"/>
          <w:sz w:val="32"/>
          <w:szCs w:val="32"/>
          <w:lang w:val="en-US" w:eastAsia="zh-CN"/>
        </w:rPr>
        <w:t>我镇无收取信息处理费的情况。</w:t>
      </w:r>
    </w:p>
    <w:p w14:paraId="327A4947">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宋体" w:hAnsi="宋体" w:eastAsia="宋体" w:cs="宋体"/>
          <w:i w:val="0"/>
          <w:caps w:val="0"/>
          <w:color w:val="0000FF"/>
          <w:spacing w:val="0"/>
          <w:kern w:val="2"/>
          <w:sz w:val="24"/>
          <w:szCs w:val="24"/>
          <w:shd w:val="clear" w:color="auto" w:fill="FFFFFF"/>
          <w:lang w:val="en-US" w:eastAsia="zh-CN" w:bidi="ar-SA"/>
        </w:rPr>
      </w:pPr>
      <w:r>
        <w:rPr>
          <w:rFonts w:hint="eastAsia" w:ascii="楷体_GB2312" w:hAnsi="楷体_GB2312" w:eastAsia="楷体_GB2312" w:cs="楷体_GB2312"/>
          <w:color w:val="000000"/>
          <w:sz w:val="32"/>
          <w:szCs w:val="32"/>
          <w:lang w:val="en-US" w:eastAsia="zh-CN"/>
        </w:rPr>
        <w:t>2.人大代表建议和政协提案办理结果公开情况。</w:t>
      </w:r>
      <w:r>
        <w:rPr>
          <w:rFonts w:ascii="仿宋_GB2312" w:hAnsi="宋体" w:eastAsia="仿宋_GB2312" w:cs="仿宋_GB2312"/>
          <w:i w:val="0"/>
          <w:iCs w:val="0"/>
          <w:caps w:val="0"/>
          <w:color w:val="000000"/>
          <w:spacing w:val="0"/>
          <w:sz w:val="32"/>
          <w:szCs w:val="32"/>
          <w:shd w:val="clear" w:color="auto" w:fill="FFFFFF"/>
        </w:rPr>
        <w:t>本年度，承办人大代表建议</w:t>
      </w:r>
      <w:r>
        <w:rPr>
          <w:rFonts w:hint="eastAsia" w:ascii="仿宋_GB2312" w:hAnsi="宋体" w:eastAsia="仿宋_GB2312" w:cs="仿宋_GB2312"/>
          <w:i w:val="0"/>
          <w:iCs w:val="0"/>
          <w:caps w:val="0"/>
          <w:color w:val="000000"/>
          <w:spacing w:val="0"/>
          <w:sz w:val="32"/>
          <w:szCs w:val="32"/>
          <w:shd w:val="clear" w:color="auto" w:fill="FFFFFF"/>
        </w:rPr>
        <w:t>1件，承办政协提案0件。针对人大代表建议源泉镇政府</w:t>
      </w:r>
      <w:r>
        <w:rPr>
          <w:rFonts w:hint="eastAsia" w:ascii="仿宋_GB2312" w:hAnsi="宋体" w:eastAsia="仿宋_GB2312" w:cs="仿宋_GB2312"/>
          <w:i w:val="0"/>
          <w:iCs w:val="0"/>
          <w:caps w:val="0"/>
          <w:color w:val="000000"/>
          <w:spacing w:val="0"/>
          <w:sz w:val="32"/>
          <w:szCs w:val="32"/>
          <w:shd w:val="clear" w:color="auto" w:fill="FFFFFF"/>
          <w:lang w:val="en-US" w:eastAsia="zh-CN"/>
        </w:rPr>
        <w:t>与</w:t>
      </w:r>
      <w:r>
        <w:rPr>
          <w:rFonts w:hint="eastAsia" w:ascii="仿宋_GB2312" w:hAnsi="仿宋_GB2312" w:eastAsia="仿宋_GB2312" w:cs="仿宋_GB2312"/>
          <w:sz w:val="32"/>
          <w:szCs w:val="32"/>
        </w:rPr>
        <w:t>临临高速公路博山段工程建设指挥部</w:t>
      </w:r>
      <w:r>
        <w:rPr>
          <w:rFonts w:hint="eastAsia" w:ascii="仿宋_GB2312" w:hAnsi="宋体" w:eastAsia="仿宋_GB2312" w:cs="仿宋_GB2312"/>
          <w:i w:val="0"/>
          <w:iCs w:val="0"/>
          <w:caps w:val="0"/>
          <w:color w:val="000000"/>
          <w:spacing w:val="0"/>
          <w:sz w:val="32"/>
          <w:szCs w:val="32"/>
          <w:shd w:val="clear" w:color="auto" w:fill="FFFFFF"/>
          <w:lang w:val="en-US" w:eastAsia="zh-CN"/>
        </w:rPr>
        <w:t>积极对接</w:t>
      </w:r>
      <w:r>
        <w:rPr>
          <w:rFonts w:hint="eastAsia" w:ascii="仿宋_GB2312" w:hAnsi="宋体" w:eastAsia="仿宋_GB2312" w:cs="仿宋_GB2312"/>
          <w:i w:val="0"/>
          <w:iCs w:val="0"/>
          <w:caps w:val="0"/>
          <w:color w:val="000000"/>
          <w:spacing w:val="0"/>
          <w:sz w:val="32"/>
          <w:szCs w:val="32"/>
          <w:shd w:val="clear" w:color="auto" w:fill="FFFFFF"/>
          <w:lang w:eastAsia="zh-CN"/>
        </w:rPr>
        <w:t>仲临路岳西路口</w:t>
      </w:r>
      <w:r>
        <w:rPr>
          <w:rFonts w:hint="eastAsia" w:ascii="仿宋_GB2312" w:hAnsi="宋体" w:eastAsia="仿宋_GB2312" w:cs="仿宋_GB2312"/>
          <w:i w:val="0"/>
          <w:iCs w:val="0"/>
          <w:caps w:val="0"/>
          <w:color w:val="000000"/>
          <w:spacing w:val="0"/>
          <w:sz w:val="32"/>
          <w:szCs w:val="32"/>
          <w:shd w:val="clear" w:color="auto" w:fill="FFFFFF"/>
          <w:lang w:val="en-US" w:eastAsia="zh-CN"/>
        </w:rPr>
        <w:t>提升改造项目，并增设相关安全保障设施，</w:t>
      </w:r>
      <w:r>
        <w:rPr>
          <w:rFonts w:hint="eastAsia" w:ascii="仿宋_GB2312" w:eastAsia="仿宋_GB2312"/>
          <w:sz w:val="32"/>
          <w:szCs w:val="32"/>
          <w:lang w:val="en-US" w:eastAsia="zh-CN"/>
        </w:rPr>
        <w:t>充分发挥属地作用，协调有关部门各项工作有序进行开展。</w:t>
      </w:r>
      <w:r>
        <w:rPr>
          <w:rFonts w:hint="eastAsia" w:ascii="仿宋_GB2312" w:hAnsi="宋体" w:eastAsia="仿宋_GB2312" w:cs="仿宋_GB2312"/>
          <w:i w:val="0"/>
          <w:iCs w:val="0"/>
          <w:caps w:val="0"/>
          <w:color w:val="000000"/>
          <w:spacing w:val="0"/>
          <w:sz w:val="32"/>
          <w:szCs w:val="32"/>
          <w:shd w:val="clear" w:color="auto" w:fill="FFFFFF"/>
        </w:rPr>
        <w:t>按照程序答复人大代表，</w:t>
      </w:r>
      <w:r>
        <w:rPr>
          <w:rFonts w:hint="eastAsia" w:ascii="仿宋_GB2312" w:eastAsia="仿宋_GB2312"/>
          <w:sz w:val="32"/>
          <w:szCs w:val="32"/>
          <w:lang w:val="en-US" w:eastAsia="zh-CN"/>
        </w:rPr>
        <w:t>并</w:t>
      </w:r>
      <w:r>
        <w:rPr>
          <w:rFonts w:hint="eastAsia" w:ascii="仿宋_GB2312" w:hAnsi="宋体" w:eastAsia="仿宋_GB2312" w:cs="仿宋_GB2312"/>
          <w:i w:val="0"/>
          <w:iCs w:val="0"/>
          <w:caps w:val="0"/>
          <w:color w:val="000000"/>
          <w:spacing w:val="0"/>
          <w:sz w:val="32"/>
          <w:szCs w:val="32"/>
          <w:shd w:val="clear" w:color="auto" w:fill="FFFFFF"/>
        </w:rPr>
        <w:t>对答复表示满意</w:t>
      </w:r>
      <w:r>
        <w:rPr>
          <w:rFonts w:hint="eastAsia" w:ascii="仿宋_GB2312" w:hAnsi="宋体" w:eastAsia="仿宋_GB2312" w:cs="仿宋_GB2312"/>
          <w:i w:val="0"/>
          <w:iCs w:val="0"/>
          <w:caps w:val="0"/>
          <w:color w:val="000000"/>
          <w:spacing w:val="0"/>
          <w:sz w:val="32"/>
          <w:szCs w:val="32"/>
          <w:shd w:val="clear" w:color="auto" w:fill="FFFFFF"/>
          <w:lang w:eastAsia="zh-CN"/>
        </w:rPr>
        <w:t>。</w:t>
      </w:r>
      <w:r>
        <w:rPr>
          <w:rFonts w:hint="eastAsia" w:ascii="仿宋_GB2312" w:eastAsia="仿宋_GB2312"/>
          <w:sz w:val="32"/>
          <w:szCs w:val="32"/>
          <w:lang w:val="en-US" w:eastAsia="zh-CN"/>
        </w:rPr>
        <w:t>将办理结果通过政府网站对外公开</w:t>
      </w:r>
      <w:r>
        <w:rPr>
          <w:rFonts w:hint="eastAsia" w:ascii="仿宋_GB2312" w:hAnsi="宋体" w:eastAsia="仿宋_GB2312" w:cs="仿宋_GB2312"/>
          <w:i w:val="0"/>
          <w:iCs w:val="0"/>
          <w:caps w:val="0"/>
          <w:color w:val="000000"/>
          <w:spacing w:val="0"/>
          <w:sz w:val="32"/>
          <w:szCs w:val="32"/>
          <w:shd w:val="clear" w:color="auto" w:fill="FFFFFF"/>
        </w:rPr>
        <w:t>。</w:t>
      </w:r>
    </w:p>
    <w:p w14:paraId="6BE8B563">
      <w:pPr>
        <w:keepNext w:val="0"/>
        <w:keepLines w:val="0"/>
        <w:pageBreakBefore w:val="0"/>
        <w:numPr>
          <w:ilvl w:val="0"/>
          <w:numId w:val="0"/>
        </w:numPr>
        <w:kinsoku/>
        <w:wordWrap/>
        <w:overflowPunct/>
        <w:topLinePunct w:val="0"/>
        <w:autoSpaceDE/>
        <w:autoSpaceDN/>
        <w:bidi w:val="0"/>
        <w:spacing w:line="576" w:lineRule="exact"/>
        <w:ind w:firstLine="640" w:firstLineChars="200"/>
        <w:textAlignment w:val="auto"/>
        <w:rPr>
          <w:rFonts w:hint="eastAsia" w:ascii="宋体" w:hAnsi="宋体" w:eastAsia="宋体" w:cs="宋体"/>
          <w:i w:val="0"/>
          <w:caps w:val="0"/>
          <w:color w:val="0000FF"/>
          <w:spacing w:val="0"/>
          <w:kern w:val="2"/>
          <w:sz w:val="24"/>
          <w:szCs w:val="24"/>
          <w:shd w:val="clear" w:color="auto" w:fill="FFFFFF"/>
          <w:lang w:val="en-US" w:eastAsia="zh-CN" w:bidi="ar-SA"/>
        </w:rPr>
      </w:pPr>
      <w:r>
        <w:rPr>
          <w:rFonts w:hint="eastAsia" w:ascii="楷体_GB2312" w:hAnsi="楷体_GB2312" w:eastAsia="楷体_GB2312" w:cs="楷体_GB2312"/>
          <w:color w:val="000000"/>
          <w:sz w:val="32"/>
          <w:szCs w:val="32"/>
          <w:lang w:val="en-US" w:eastAsia="zh-CN"/>
        </w:rPr>
        <w:t>3.本部门在政务公开制度、内容、形式和平台建设方面的创新实践情况。</w:t>
      </w:r>
      <w:r>
        <w:rPr>
          <w:rFonts w:hint="eastAsia" w:ascii="仿宋_GB2312" w:hAnsi="Calibri" w:eastAsia="仿宋_GB2312" w:cs="Times New Roman"/>
          <w:kern w:val="2"/>
          <w:sz w:val="32"/>
          <w:szCs w:val="32"/>
          <w:lang w:val="en-US" w:eastAsia="zh-CN" w:bidi="ar-SA"/>
        </w:rPr>
        <w:t>积极探索政务公开“新模式”，不断增强政务服务的广度和精度，保障群众知情权。源泉镇围绕镇中心工作，聚焦群众关心关切和重大民生实事，采取实地参观和座谈交流相结合的方式进行，让群众在参观镇便民服务大厅过程中了解</w:t>
      </w:r>
      <w:r>
        <w:rPr>
          <w:rFonts w:hint="eastAsia" w:ascii="仿宋_GB2312" w:eastAsia="仿宋_GB2312" w:cs="Times New Roman"/>
          <w:kern w:val="2"/>
          <w:sz w:val="32"/>
          <w:szCs w:val="32"/>
          <w:lang w:val="en-US" w:eastAsia="zh-CN" w:bidi="ar-SA"/>
        </w:rPr>
        <w:t>镇</w:t>
      </w:r>
      <w:r>
        <w:rPr>
          <w:rFonts w:hint="eastAsia" w:ascii="仿宋_GB2312" w:hAnsi="Calibri" w:eastAsia="仿宋_GB2312" w:cs="Times New Roman"/>
          <w:kern w:val="2"/>
          <w:sz w:val="32"/>
          <w:szCs w:val="32"/>
          <w:lang w:val="en-US" w:eastAsia="zh-CN" w:bidi="ar-SA"/>
        </w:rPr>
        <w:t>政务公开建设及大厅窗口设置、业务范围等情况。</w:t>
      </w:r>
    </w:p>
    <w:p w14:paraId="65FE8E83">
      <w:pPr>
        <w:keepNext w:val="0"/>
        <w:keepLines w:val="0"/>
        <w:pageBreakBefore w:val="0"/>
        <w:kinsoku/>
        <w:wordWrap/>
        <w:overflowPunct/>
        <w:topLinePunct w:val="0"/>
        <w:autoSpaceDE/>
        <w:autoSpaceDN/>
        <w:bidi w:val="0"/>
        <w:spacing w:line="576" w:lineRule="exact"/>
        <w:ind w:firstLine="640" w:firstLineChars="200"/>
        <w:textAlignment w:val="auto"/>
        <w:rPr>
          <w:rFonts w:hint="eastAsia" w:ascii="仿宋_GB2312" w:hAnsi="宋体" w:eastAsia="仿宋_GB2312" w:cs="仿宋_GB2312"/>
          <w:i w:val="0"/>
          <w:iCs w:val="0"/>
          <w:caps w:val="0"/>
          <w:color w:val="000000"/>
          <w:spacing w:val="0"/>
          <w:sz w:val="32"/>
          <w:szCs w:val="32"/>
          <w:shd w:val="clear" w:color="auto" w:fill="FFFFFF"/>
          <w:lang w:val="en-US" w:eastAsia="zh-CN"/>
        </w:rPr>
      </w:pPr>
      <w:r>
        <w:rPr>
          <w:rFonts w:hint="eastAsia" w:ascii="楷体_GB2312" w:hAnsi="楷体_GB2312" w:eastAsia="楷体_GB2312" w:cs="楷体_GB2312"/>
          <w:color w:val="000000"/>
          <w:sz w:val="32"/>
          <w:szCs w:val="32"/>
          <w:lang w:val="en-US" w:eastAsia="zh-CN"/>
        </w:rPr>
        <w:t>4.《2024年博山区政务公开工作方案》落实情况。</w:t>
      </w:r>
      <w:r>
        <w:rPr>
          <w:rFonts w:hint="eastAsia" w:ascii="仿宋_GB2312" w:hAnsi="宋体" w:eastAsia="仿宋_GB2312" w:cs="仿宋_GB2312"/>
          <w:i w:val="0"/>
          <w:iCs w:val="0"/>
          <w:caps w:val="0"/>
          <w:color w:val="000000"/>
          <w:spacing w:val="0"/>
          <w:sz w:val="32"/>
          <w:szCs w:val="32"/>
          <w:shd w:val="clear" w:color="auto" w:fill="FFFFFF"/>
          <w:lang w:val="en-US" w:eastAsia="zh-CN"/>
        </w:rPr>
        <w:t>严格落实《2024年博山区政务公开工作方案》</w:t>
      </w:r>
      <w:r>
        <w:rPr>
          <w:rFonts w:hint="eastAsia" w:ascii="仿宋_GB2312" w:eastAsia="仿宋_GB2312"/>
          <w:sz w:val="32"/>
          <w:szCs w:val="32"/>
          <w:highlight w:val="none"/>
          <w:lang w:val="en-US" w:eastAsia="zh-CN"/>
        </w:rPr>
        <w:t>信息公开工作有关要求，围绕</w:t>
      </w:r>
      <w:r>
        <w:rPr>
          <w:rFonts w:hint="eastAsia" w:ascii="仿宋_GB2312" w:eastAsia="仿宋_GB2312"/>
          <w:b w:val="0"/>
          <w:bCs w:val="0"/>
          <w:sz w:val="32"/>
          <w:szCs w:val="32"/>
          <w:lang w:val="en-US" w:eastAsia="zh-CN"/>
        </w:rPr>
        <w:t>社会救助、</w:t>
      </w:r>
      <w:r>
        <w:rPr>
          <w:rFonts w:hint="eastAsia" w:ascii="仿宋_GB2312" w:eastAsia="仿宋_GB2312"/>
          <w:sz w:val="32"/>
          <w:szCs w:val="32"/>
          <w:highlight w:val="none"/>
          <w:lang w:val="en-US" w:eastAsia="zh-CN"/>
        </w:rPr>
        <w:t>养老</w:t>
      </w:r>
      <w:r>
        <w:rPr>
          <w:rFonts w:hint="eastAsia" w:ascii="仿宋_GB2312" w:eastAsia="仿宋_GB2312"/>
          <w:b w:val="0"/>
          <w:bCs w:val="0"/>
          <w:sz w:val="32"/>
          <w:szCs w:val="32"/>
          <w:lang w:val="en-US" w:eastAsia="zh-CN"/>
        </w:rPr>
        <w:t>服务</w:t>
      </w:r>
      <w:r>
        <w:rPr>
          <w:rFonts w:hint="eastAsia" w:ascii="仿宋_GB2312" w:eastAsia="仿宋_GB2312"/>
          <w:sz w:val="32"/>
          <w:szCs w:val="32"/>
          <w:highlight w:val="none"/>
          <w:lang w:val="en-US" w:eastAsia="zh-CN"/>
        </w:rPr>
        <w:t>、医保、教育等</w:t>
      </w:r>
      <w:r>
        <w:rPr>
          <w:rFonts w:hint="eastAsia" w:ascii="仿宋_GB2312" w:eastAsia="仿宋_GB2312"/>
          <w:b w:val="0"/>
          <w:bCs w:val="0"/>
          <w:sz w:val="32"/>
          <w:szCs w:val="32"/>
          <w:lang w:val="en-US" w:eastAsia="zh-CN"/>
        </w:rPr>
        <w:t>民生保障</w:t>
      </w:r>
      <w:r>
        <w:rPr>
          <w:rFonts w:hint="eastAsia" w:ascii="仿宋_GB2312" w:eastAsia="仿宋_GB2312"/>
          <w:sz w:val="32"/>
          <w:szCs w:val="32"/>
          <w:highlight w:val="none"/>
          <w:lang w:val="en-US" w:eastAsia="zh-CN"/>
        </w:rPr>
        <w:t>领域，</w:t>
      </w:r>
      <w:r>
        <w:rPr>
          <w:rFonts w:hint="eastAsia" w:ascii="仿宋_GB2312" w:eastAsia="仿宋_GB2312"/>
          <w:b w:val="0"/>
          <w:bCs w:val="0"/>
          <w:sz w:val="32"/>
          <w:szCs w:val="32"/>
          <w:lang w:val="en-US" w:eastAsia="zh-CN"/>
        </w:rPr>
        <w:t>加大信息公开力度，细化公开内容</w:t>
      </w:r>
      <w:r>
        <w:rPr>
          <w:rFonts w:hint="eastAsia" w:ascii="仿宋_GB2312" w:eastAsia="仿宋_GB2312"/>
          <w:sz w:val="32"/>
          <w:szCs w:val="32"/>
          <w:highlight w:val="none"/>
          <w:lang w:val="en-US" w:eastAsia="zh-CN"/>
        </w:rPr>
        <w:t>。强化政务公开工作组织领导，指定专人负责，</w:t>
      </w:r>
      <w:r>
        <w:rPr>
          <w:rFonts w:ascii="仿宋_GB2312" w:hAnsi="宋体" w:eastAsia="仿宋_GB2312" w:cs="仿宋_GB2312"/>
          <w:i w:val="0"/>
          <w:iCs w:val="0"/>
          <w:caps w:val="0"/>
          <w:color w:val="000000"/>
          <w:spacing w:val="0"/>
          <w:sz w:val="32"/>
          <w:szCs w:val="32"/>
          <w:shd w:val="clear" w:color="auto" w:fill="FFFFFF"/>
        </w:rPr>
        <w:t>全面做好政务公开工作</w:t>
      </w:r>
      <w:r>
        <w:rPr>
          <w:rFonts w:hint="eastAsia" w:ascii="仿宋_GB2312" w:eastAsia="仿宋_GB2312"/>
          <w:sz w:val="32"/>
          <w:szCs w:val="32"/>
          <w:highlight w:val="none"/>
          <w:lang w:val="en-US" w:eastAsia="zh-CN"/>
        </w:rPr>
        <w:t>。</w:t>
      </w:r>
    </w:p>
    <w:p w14:paraId="5773E0B9">
      <w:pPr>
        <w:keepNext w:val="0"/>
        <w:keepLines w:val="0"/>
        <w:pageBreakBefore w:val="0"/>
        <w:kinsoku/>
        <w:wordWrap/>
        <w:overflowPunct/>
        <w:topLinePunct w:val="0"/>
        <w:autoSpaceDE/>
        <w:autoSpaceDN/>
        <w:bidi w:val="0"/>
        <w:spacing w:line="576" w:lineRule="exact"/>
        <w:textAlignment w:val="auto"/>
      </w:pPr>
    </w:p>
    <w:p w14:paraId="1365367C">
      <w:pPr>
        <w:keepNext w:val="0"/>
        <w:keepLines w:val="0"/>
        <w:pageBreakBefore w:val="0"/>
        <w:kinsoku/>
        <w:wordWrap/>
        <w:overflowPunct/>
        <w:topLinePunct w:val="0"/>
        <w:autoSpaceDE/>
        <w:autoSpaceDN/>
        <w:bidi w:val="0"/>
        <w:spacing w:line="576" w:lineRule="exact"/>
        <w:textAlignment w:val="auto"/>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0D"/>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decorative"/>
    <w:pitch w:val="default"/>
    <w:sig w:usb0="00000001" w:usb1="080E0000" w:usb2="00000000" w:usb3="00000000" w:csb0="00040000" w:csb1="00000000"/>
  </w:font>
  <w:font w:name="楷体_GB2312">
    <w:panose1 w:val="02010609030101010101"/>
    <w:charset w:val="86"/>
    <w:family w:val="decorative"/>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36055A5"/>
    <w:rsid w:val="306E533B"/>
    <w:rsid w:val="33BE0F59"/>
    <w:rsid w:val="39DC713E"/>
    <w:rsid w:val="3F034C62"/>
    <w:rsid w:val="52132286"/>
    <w:rsid w:val="5E3B6766"/>
    <w:rsid w:val="6238312F"/>
    <w:rsid w:val="6ECB2625"/>
    <w:rsid w:val="7091330C"/>
    <w:rsid w:val="74312FE1"/>
    <w:rsid w:val="749063DC"/>
    <w:rsid w:val="75241FEA"/>
    <w:rsid w:val="77764653"/>
    <w:rsid w:val="7F8F38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2685</Words>
  <Characters>2790</Characters>
  <Lines>0</Lines>
  <Paragraphs>0</Paragraphs>
  <TotalTime>13</TotalTime>
  <ScaleCrop>false</ScaleCrop>
  <LinksUpToDate>false</LinksUpToDate>
  <CharactersWithSpaces>2790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2025-01-10T06:59:00Z</dcterms:created>
  <dc:creator>Administrator</dc:creator>
  <cp:lastModifiedBy>Administrator</cp:lastModifiedBy>
  <dcterms:modified xsi:type="dcterms:W3CDTF">2025-01-21T07:08:59Z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KSOTemplateDocerSaveRecord">
    <vt:lpwstr>eyJoZGlkIjoiYTBkMmM5ZmZjNzZmZjQ3NWVjNzVlYWVkYjc2OTc2NzcifQ==</vt:lpwstr>
  </property>
  <property fmtid="{D5CDD505-2E9C-101B-9397-08002B2CF9AE}" pid="4" name="ICV">
    <vt:lpwstr>CEBD2E1B1FAC4FD1A985F6C58371209E_13</vt:lpwstr>
  </property>
</Properties>
</file>