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N/>
        <w:bidi w:val="0"/>
        <w:adjustRightInd/>
        <w:snapToGrid/>
        <w:spacing w:before="0" w:beforeLines="0" w:beforeAutospacing="0" w:after="0" w:afterLines="0" w:afterAutospacing="0" w:line="576" w:lineRule="exact"/>
        <w:jc w:val="center"/>
        <w:textAlignment w:val="auto"/>
        <w:rPr>
          <w:rFonts w:hint="eastAsia"/>
        </w:rPr>
      </w:pPr>
      <w:r>
        <w:rPr>
          <w:rFonts w:hint="eastAsia"/>
        </w:rPr>
        <w:t>源泉镇202</w:t>
      </w:r>
      <w:r>
        <w:rPr>
          <w:rFonts w:hint="eastAsia"/>
          <w:lang w:val="en-US" w:eastAsia="zh-CN"/>
        </w:rPr>
        <w:t>2</w:t>
      </w:r>
      <w:r>
        <w:rPr>
          <w:rFonts w:hint="eastAsia"/>
        </w:rPr>
        <w:t>年政府信息公开年度报告</w:t>
      </w:r>
    </w:p>
    <w:p>
      <w:pPr>
        <w:pageBreakBefore w:val="0"/>
        <w:kinsoku/>
        <w:wordWrap/>
        <w:overflowPunct/>
        <w:topLinePunct w:val="0"/>
        <w:autoSpaceDN/>
        <w:bidi w:val="0"/>
        <w:adjustRightInd/>
        <w:snapToGrid/>
        <w:spacing w:beforeAutospacing="0" w:afterAutospacing="0" w:line="576" w:lineRule="exact"/>
        <w:textAlignment w:val="auto"/>
        <w:rPr>
          <w:rFonts w:hint="default" w:eastAsiaTheme="minorEastAsia"/>
          <w:lang w:val="en-US" w:eastAsia="zh-CN"/>
        </w:rPr>
      </w:pPr>
      <w:r>
        <w:rPr>
          <w:rFonts w:hint="eastAsia"/>
          <w:lang w:val="en-US" w:eastAsia="zh-CN"/>
        </w:rPr>
        <w:t xml:space="preserve">                                时间2022-01-16</w:t>
      </w:r>
    </w:p>
    <w:p>
      <w:pPr>
        <w:pStyle w:val="3"/>
        <w:keepNext w:val="0"/>
        <w:keepLines w:val="0"/>
        <w:widowControl/>
        <w:suppressLineNumbers w:val="0"/>
        <w:autoSpaceDE w:val="0"/>
        <w:autoSpaceDN/>
        <w:spacing w:before="0" w:beforeAutospacing="0" w:after="0" w:afterAutospacing="0" w:line="576" w:lineRule="atLeast"/>
        <w:ind w:left="0" w:firstLine="643"/>
        <w:rPr>
          <w:rFonts w:hint="eastAsia" w:ascii="仿宋_GB2312" w:eastAsia="仿宋_GB2312" w:cs="仿宋_GB2312"/>
          <w:sz w:val="32"/>
          <w:szCs w:val="32"/>
        </w:rPr>
      </w:pPr>
      <w:r>
        <w:rPr>
          <w:rFonts w:hint="eastAsia" w:ascii="仿宋_GB2312" w:eastAsia="仿宋_GB2312" w:cs="仿宋_GB2312"/>
          <w:sz w:val="32"/>
          <w:szCs w:val="32"/>
        </w:rPr>
        <w:t>本年度报告根据《中华人民共和国政府信息公开条例》和《国务院办公厅政府信息与政务公开办公室关于印发&lt;中华人民共和国政府信息公开工作年度报告格式&gt;的通知》（国办公开办函〔2021〕30号）相关要求编制</w:t>
      </w:r>
      <w:r>
        <w:rPr>
          <w:rFonts w:hint="eastAsia" w:ascii="仿宋_GB2312" w:eastAsia="仿宋_GB2312" w:cs="仿宋_GB2312"/>
          <w:sz w:val="32"/>
          <w:szCs w:val="32"/>
          <w:lang w:eastAsia="zh-CN"/>
        </w:rPr>
        <w:t>。</w:t>
      </w:r>
      <w:r>
        <w:rPr>
          <w:rFonts w:hint="eastAsia" w:ascii="仿宋_GB2312" w:eastAsia="仿宋_GB2312" w:cs="仿宋_GB2312"/>
          <w:sz w:val="32"/>
          <w:szCs w:val="32"/>
        </w:rPr>
        <w:t>本报告中所列数据的统计时限为2022年1月1日至2022年12月31日。如对本报告有任何疑问，请与博山区源泉镇人民政府联系（地址：淄博市博山区源泉镇北崮山村源泉镇便民服务中心；邮编：255204；电话：0533-4810046；电子邮箱：</w:t>
      </w:r>
      <w:bookmarkStart w:id="0" w:name="_GoBack"/>
      <w:bookmarkEnd w:id="0"/>
      <w:r>
        <w:rPr>
          <w:rFonts w:hint="eastAsia" w:ascii="仿宋_GB2312" w:eastAsia="仿宋_GB2312" w:cs="仿宋_GB2312"/>
          <w:sz w:val="32"/>
          <w:szCs w:val="32"/>
        </w:rPr>
        <w:t>bsqyqzdzzhbgs@zb.shandong.cn ）</w:t>
      </w:r>
    </w:p>
    <w:p>
      <w:pPr>
        <w:pStyle w:val="3"/>
        <w:keepNext w:val="0"/>
        <w:keepLines w:val="0"/>
        <w:widowControl/>
        <w:suppressLineNumbers w:val="0"/>
        <w:autoSpaceDE w:val="0"/>
        <w:autoSpaceDN/>
        <w:spacing w:before="0" w:beforeAutospacing="0" w:after="0" w:afterAutospacing="0" w:line="576" w:lineRule="atLeast"/>
        <w:ind w:left="0" w:firstLine="640"/>
      </w:pPr>
      <w:r>
        <w:rPr>
          <w:rFonts w:ascii="黑体" w:hAnsi="宋体" w:eastAsia="黑体" w:cs="黑体"/>
          <w:sz w:val="27"/>
          <w:szCs w:val="27"/>
        </w:rPr>
        <w:t>一、总体情况</w:t>
      </w:r>
    </w:p>
    <w:p>
      <w:pPr>
        <w:pStyle w:val="3"/>
        <w:keepNext w:val="0"/>
        <w:keepLines w:val="0"/>
        <w:widowControl/>
        <w:suppressLineNumbers w:val="0"/>
        <w:autoSpaceDE w:val="0"/>
        <w:autoSpaceDN/>
        <w:spacing w:before="0" w:beforeAutospacing="0" w:after="0" w:afterAutospacing="0" w:line="576" w:lineRule="atLeast"/>
        <w:ind w:left="0" w:firstLine="643"/>
      </w:pPr>
      <w:r>
        <w:rPr>
          <w:rStyle w:val="6"/>
          <w:rFonts w:ascii="楷体_GB2312" w:eastAsia="楷体_GB2312" w:cs="楷体_GB2312"/>
          <w:sz w:val="32"/>
          <w:szCs w:val="32"/>
        </w:rPr>
        <w:t>（一）主动公开情况。</w:t>
      </w:r>
      <w:r>
        <w:rPr>
          <w:rFonts w:hint="eastAsia" w:ascii="仿宋_GB2312" w:eastAsia="仿宋_GB2312" w:cs="仿宋_GB2312"/>
          <w:sz w:val="32"/>
          <w:szCs w:val="32"/>
        </w:rPr>
        <w:t>2022年，源泉镇政府充分利用博山区政府门户网站主动公开政府信息91条，内容涵盖农林、环保、扶贫、教育、卫计、文旅等工作，确保公众及时、全面、便捷地获取信息，增强信息公开实效，切实提高群众对全镇工作的知晓率。</w:t>
      </w:r>
    </w:p>
    <w:p>
      <w:pPr>
        <w:pStyle w:val="3"/>
        <w:keepNext w:val="0"/>
        <w:keepLines w:val="0"/>
        <w:widowControl/>
        <w:suppressLineNumbers w:val="0"/>
        <w:autoSpaceDE w:val="0"/>
        <w:autoSpaceDN/>
        <w:spacing w:before="0" w:beforeAutospacing="0" w:after="0" w:afterAutospacing="0" w:line="576" w:lineRule="atLeast"/>
        <w:ind w:left="0" w:firstLine="643"/>
      </w:pPr>
      <w:r>
        <w:rPr>
          <w:rStyle w:val="6"/>
          <w:rFonts w:hint="default" w:ascii="楷体_GB2312" w:eastAsia="楷体_GB2312" w:cs="楷体_GB2312"/>
          <w:sz w:val="32"/>
          <w:szCs w:val="32"/>
        </w:rPr>
        <w:t>（二）依申请公开情况。</w:t>
      </w:r>
      <w:r>
        <w:rPr>
          <w:rFonts w:hint="eastAsia" w:ascii="仿宋_GB2312" w:eastAsia="仿宋_GB2312" w:cs="仿宋_GB2312"/>
          <w:sz w:val="32"/>
          <w:szCs w:val="32"/>
        </w:rPr>
        <w:t>2022年我镇未收到政府信息公开申请。</w:t>
      </w:r>
    </w:p>
    <w:p>
      <w:pPr>
        <w:pStyle w:val="3"/>
        <w:keepNext w:val="0"/>
        <w:keepLines w:val="0"/>
        <w:widowControl/>
        <w:suppressLineNumbers w:val="0"/>
        <w:autoSpaceDE w:val="0"/>
        <w:autoSpaceDN/>
        <w:spacing w:before="0" w:beforeAutospacing="0" w:after="0" w:afterAutospacing="0" w:line="576" w:lineRule="atLeast"/>
        <w:ind w:left="0" w:firstLine="643"/>
      </w:pPr>
      <w:r>
        <w:rPr>
          <w:rStyle w:val="6"/>
          <w:rFonts w:hint="default" w:ascii="楷体_GB2312" w:eastAsia="楷体_GB2312" w:cs="楷体_GB2312"/>
          <w:sz w:val="32"/>
          <w:szCs w:val="32"/>
        </w:rPr>
        <w:t>（三）政府信息管理情况。</w:t>
      </w:r>
      <w:r>
        <w:rPr>
          <w:rFonts w:hint="eastAsia" w:ascii="仿宋_GB2312" w:eastAsia="仿宋_GB2312" w:cs="仿宋_GB2312"/>
          <w:sz w:val="32"/>
          <w:szCs w:val="32"/>
        </w:rPr>
        <w:t>成立政府信息公开工作领导小组，由分管领导主抓，镇党政办工作人员具体负责政府信息公开工作，各委办人员相互配合，各负其责，确保政府信息公开工作顺利开展。</w:t>
      </w:r>
    </w:p>
    <w:p>
      <w:pPr>
        <w:pStyle w:val="3"/>
        <w:keepNext w:val="0"/>
        <w:keepLines w:val="0"/>
        <w:widowControl/>
        <w:suppressLineNumbers w:val="0"/>
        <w:autoSpaceDE w:val="0"/>
        <w:autoSpaceDN/>
        <w:spacing w:before="0" w:beforeAutospacing="0" w:after="0" w:afterAutospacing="0" w:line="576" w:lineRule="atLeast"/>
        <w:ind w:left="0" w:firstLine="643"/>
      </w:pPr>
      <w:r>
        <w:rPr>
          <w:rStyle w:val="6"/>
          <w:rFonts w:hint="default" w:ascii="楷体_GB2312" w:eastAsia="楷体_GB2312" w:cs="楷体_GB2312"/>
          <w:sz w:val="32"/>
          <w:szCs w:val="32"/>
        </w:rPr>
        <w:t>（四）平台建设情况。</w:t>
      </w:r>
      <w:r>
        <w:rPr>
          <w:rFonts w:hint="eastAsia" w:ascii="仿宋_GB2312" w:eastAsia="仿宋_GB2312" w:cs="仿宋_GB2312"/>
          <w:sz w:val="32"/>
          <w:szCs w:val="32"/>
        </w:rPr>
        <w:t>依托博山区人民政府网站，统一由专人将各委办按规定应该向社会公开的信息上传镇政府门户网站的政府信息公开资源库，方便社会公众获取相关信息。通过“秀美山川幸福源泉”和“源泉镇欢迎您”微信公众平台，及时公开与人民群众生产生活相关的信息。</w:t>
      </w:r>
    </w:p>
    <w:p>
      <w:pPr>
        <w:pStyle w:val="3"/>
        <w:keepNext w:val="0"/>
        <w:keepLines w:val="0"/>
        <w:widowControl/>
        <w:suppressLineNumbers w:val="0"/>
        <w:autoSpaceDE w:val="0"/>
        <w:autoSpaceDN/>
        <w:spacing w:before="0" w:beforeAutospacing="0" w:after="0" w:afterAutospacing="0" w:line="576" w:lineRule="atLeast"/>
        <w:ind w:left="0" w:firstLine="643"/>
      </w:pPr>
      <w:r>
        <w:rPr>
          <w:rStyle w:val="6"/>
          <w:rFonts w:hint="default" w:ascii="楷体_GB2312" w:eastAsia="楷体_GB2312" w:cs="楷体_GB2312"/>
          <w:sz w:val="32"/>
          <w:szCs w:val="32"/>
        </w:rPr>
        <w:t>（五）监督保障情况。</w:t>
      </w:r>
      <w:r>
        <w:rPr>
          <w:rFonts w:hint="eastAsia" w:ascii="仿宋_GB2312" w:eastAsia="仿宋_GB2312" w:cs="仿宋_GB2312"/>
          <w:sz w:val="32"/>
          <w:szCs w:val="32"/>
        </w:rPr>
        <w:t>严格按照《保密法》及相关规定，严格执行政府信息公开前保密审查制度，明确审查工作程序和责任，确保“上网信息不涉密，涉密信息不上网”，确保全镇政府信息公开工作规范化、标准化。</w:t>
      </w:r>
    </w:p>
    <w:p>
      <w:pPr>
        <w:pStyle w:val="3"/>
        <w:keepNext w:val="0"/>
        <w:keepLines w:val="0"/>
        <w:widowControl/>
        <w:suppressLineNumbers w:val="0"/>
        <w:autoSpaceDE w:val="0"/>
        <w:autoSpaceDN/>
        <w:spacing w:before="0" w:beforeAutospacing="0" w:after="0" w:afterAutospacing="0" w:line="576" w:lineRule="atLeast"/>
        <w:ind w:left="0" w:firstLine="640"/>
      </w:pPr>
      <w:r>
        <w:rPr>
          <w:rFonts w:hint="eastAsia" w:ascii="黑体" w:hAnsi="宋体" w:eastAsia="黑体" w:cs="黑体"/>
          <w:sz w:val="32"/>
          <w:szCs w:val="32"/>
        </w:rPr>
        <w:t>二、主动公开政府信息情况</w:t>
      </w:r>
    </w:p>
    <w:tbl>
      <w:tblPr>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420"/>
        <w:gridCol w:w="2434"/>
        <w:gridCol w:w="2434"/>
        <w:gridCol w:w="24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9202"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信息内容</w:t>
            </w:r>
          </w:p>
        </w:tc>
        <w:tc>
          <w:tcPr>
            <w:tcW w:w="2300"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本年制发件数</w:t>
            </w:r>
          </w:p>
        </w:tc>
        <w:tc>
          <w:tcPr>
            <w:tcW w:w="2300"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本年废止件数</w:t>
            </w:r>
          </w:p>
        </w:tc>
        <w:tc>
          <w:tcPr>
            <w:tcW w:w="231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规章</w:t>
            </w:r>
          </w:p>
        </w:tc>
        <w:tc>
          <w:tcPr>
            <w:tcW w:w="2300"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0</w:t>
            </w:r>
          </w:p>
        </w:tc>
        <w:tc>
          <w:tcPr>
            <w:tcW w:w="2300"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0</w:t>
            </w:r>
          </w:p>
        </w:tc>
        <w:tc>
          <w:tcPr>
            <w:tcW w:w="231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ascii="Calibri" w:hAnsi="Calibri" w:eastAsia="宋体" w:cs="Calibri"/>
                <w:color w:val="00000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行政规范性文件</w:t>
            </w:r>
          </w:p>
        </w:tc>
        <w:tc>
          <w:tcPr>
            <w:tcW w:w="2300"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1"/>
                <w:szCs w:val="21"/>
              </w:rPr>
              <w:t>0</w:t>
            </w:r>
          </w:p>
        </w:tc>
        <w:tc>
          <w:tcPr>
            <w:tcW w:w="2300"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0</w:t>
            </w:r>
          </w:p>
        </w:tc>
        <w:tc>
          <w:tcPr>
            <w:tcW w:w="231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202"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信息内容</w:t>
            </w:r>
          </w:p>
        </w:tc>
        <w:tc>
          <w:tcPr>
            <w:tcW w:w="6916"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行政许可</w:t>
            </w:r>
          </w:p>
        </w:tc>
        <w:tc>
          <w:tcPr>
            <w:tcW w:w="6916"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202"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信息内容</w:t>
            </w:r>
          </w:p>
        </w:tc>
        <w:tc>
          <w:tcPr>
            <w:tcW w:w="6916" w:type="dxa"/>
            <w:gridSpan w:val="3"/>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行政处罚</w:t>
            </w:r>
          </w:p>
        </w:tc>
        <w:tc>
          <w:tcPr>
            <w:tcW w:w="6916"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行政强制</w:t>
            </w:r>
          </w:p>
        </w:tc>
        <w:tc>
          <w:tcPr>
            <w:tcW w:w="6916"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202"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信息内容</w:t>
            </w:r>
          </w:p>
        </w:tc>
        <w:tc>
          <w:tcPr>
            <w:tcW w:w="6916"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286"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行政事业性收费</w:t>
            </w:r>
          </w:p>
        </w:tc>
        <w:tc>
          <w:tcPr>
            <w:tcW w:w="6916"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0</w:t>
            </w:r>
          </w:p>
        </w:tc>
      </w:tr>
    </w:tbl>
    <w:p>
      <w:pPr>
        <w:pStyle w:val="3"/>
        <w:keepNext w:val="0"/>
        <w:keepLines w:val="0"/>
        <w:widowControl/>
        <w:suppressLineNumbers w:val="0"/>
        <w:autoSpaceDE w:val="0"/>
        <w:autoSpaceDN/>
        <w:spacing w:line="576" w:lineRule="atLeast"/>
        <w:ind w:left="0" w:firstLine="640"/>
      </w:pPr>
      <w:r>
        <w:rPr>
          <w:rFonts w:hint="eastAsia" w:ascii="黑体" w:hAnsi="宋体" w:eastAsia="黑体" w:cs="黑体"/>
          <w:sz w:val="32"/>
          <w:szCs w:val="32"/>
        </w:rPr>
        <w:t>三、收到和处理政府信息公开申请情况</w:t>
      </w:r>
    </w:p>
    <w:tbl>
      <w:tblPr>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ascii="楷体" w:hAnsi="楷体" w:eastAsia="楷体" w:cs="楷体"/>
                <w:color w:val="000000"/>
                <w:sz w:val="20"/>
                <w:szCs w:val="20"/>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714" w:type="dxa"/>
            <w:vMerge w:val="restart"/>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自然人</w:t>
            </w:r>
          </w:p>
        </w:tc>
        <w:tc>
          <w:tcPr>
            <w:tcW w:w="3570" w:type="dxa"/>
            <w:gridSpan w:val="5"/>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714" w:type="dxa"/>
            <w:vMerge w:val="continue"/>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商业</w:t>
            </w:r>
          </w:p>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企业</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科研</w:t>
            </w:r>
          </w:p>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机构</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社会公益组织</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法律服务机构</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color w:val="000000"/>
                <w:sz w:val="20"/>
                <w:szCs w:val="20"/>
              </w:rPr>
              <w:t>其他</w:t>
            </w:r>
          </w:p>
        </w:tc>
        <w:tc>
          <w:tcPr>
            <w:tcW w:w="714" w:type="dxa"/>
            <w:vMerge w:val="continue"/>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一、本年新收政府信息公开申请数量</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二、上年结转政府信息公开申请数量</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三、本年度办理结果</w:t>
            </w: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（一）予以公开</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（二）部分公开</w:t>
            </w:r>
            <w:r>
              <w:rPr>
                <w:rFonts w:hint="eastAsia" w:ascii="楷体" w:hAnsi="楷体" w:eastAsia="楷体" w:cs="楷体"/>
                <w:color w:val="000000"/>
                <w:sz w:val="20"/>
                <w:szCs w:val="20"/>
              </w:rPr>
              <w:t>（区分处理的，只计这一情形，不计其他情形）</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（三）不予公开</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1.属于国家秘密</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2.其他法律行政法规禁止公开</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3.危及“三安全一稳定”</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4.保护第三方合法权益</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5.属于三类内部事务信息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6.属于四类过程性信息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7.属于行政执法案卷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8.属于行政查询事项</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（四）无法提供</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1.本机关不掌握相关政府信息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2.没有现成信息需要另行制作</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3.补正后申请内容仍不明确</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（五）不予处理</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1.信访举报投诉类申请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2.重复申请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3.要求提供公开出版物</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4.无正当理由大量反复申请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color w:val="000000"/>
                <w:sz w:val="20"/>
                <w:szCs w:val="20"/>
              </w:rPr>
              <w:t>5.要求行政机关确认或重新出具已获取信息</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（六）其他处理</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color w:val="000000"/>
                <w:sz w:val="20"/>
                <w:szCs w:val="20"/>
              </w:rPr>
              <w:t>1.申请人无正当理由逾期不补正、行政机关不再处理其政府信息公开申请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both"/>
            </w:pPr>
            <w:r>
              <w:rPr>
                <w:rFonts w:hint="eastAsia" w:ascii="宋体" w:hAnsi="宋体" w:eastAsia="宋体" w:cs="宋体"/>
                <w:color w:val="000000"/>
                <w:sz w:val="20"/>
                <w:szCs w:val="20"/>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3.其他</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（七）总计</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left"/>
            </w:pPr>
            <w:r>
              <w:rPr>
                <w:rFonts w:hint="eastAsia" w:ascii="宋体" w:hAnsi="宋体" w:eastAsia="宋体" w:cs="宋体"/>
                <w:color w:val="000000"/>
                <w:sz w:val="20"/>
                <w:szCs w:val="20"/>
              </w:rPr>
              <w:t>四、结转下年度继续办理</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cs="Calibri"/>
                <w:color w:val="000000"/>
                <w:sz w:val="20"/>
                <w:szCs w:val="20"/>
              </w:rPr>
              <w:t> </w:t>
            </w:r>
            <w:r>
              <w:rPr>
                <w:rFonts w:hint="default" w:ascii="Calibri" w:hAnsi="Calibri" w:eastAsia="宋体" w:cs="Calibri"/>
                <w:color w:val="000000"/>
                <w:sz w:val="20"/>
                <w:szCs w:val="20"/>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pStyle w:val="3"/>
              <w:keepNext w:val="0"/>
              <w:keepLines w:val="0"/>
              <w:widowControl/>
              <w:suppressLineNumbers w:val="0"/>
              <w:spacing w:before="0" w:beforeAutospacing="0" w:after="0" w:afterAutospacing="0"/>
              <w:ind w:left="0" w:right="0"/>
              <w:jc w:val="center"/>
            </w:pPr>
            <w:r>
              <w:rPr>
                <w:rFonts w:hint="default" w:ascii="Calibri" w:hAnsi="Calibri" w:eastAsia="宋体" w:cs="Calibri"/>
                <w:color w:val="000000"/>
                <w:sz w:val="20"/>
                <w:szCs w:val="20"/>
              </w:rPr>
              <w:t>0</w:t>
            </w:r>
            <w:r>
              <w:rPr>
                <w:rFonts w:hint="default" w:ascii="Calibri" w:hAnsi="Calibri" w:cs="Calibri"/>
                <w:color w:val="000000"/>
                <w:sz w:val="20"/>
                <w:szCs w:val="20"/>
              </w:rPr>
              <w:t> </w:t>
            </w:r>
          </w:p>
        </w:tc>
      </w:tr>
    </w:tbl>
    <w:p>
      <w:pPr>
        <w:pStyle w:val="3"/>
        <w:keepNext w:val="0"/>
        <w:keepLines w:val="0"/>
        <w:widowControl/>
        <w:suppressLineNumbers w:val="0"/>
        <w:autoSpaceDE w:val="0"/>
        <w:autoSpaceDN/>
        <w:spacing w:line="576" w:lineRule="atLeast"/>
        <w:ind w:left="0" w:right="0" w:firstLine="640"/>
        <w:jc w:val="both"/>
      </w:pPr>
      <w:r>
        <w:rPr>
          <w:rFonts w:hint="eastAsia" w:ascii="黑体" w:hAnsi="宋体" w:eastAsia="黑体" w:cs="黑体"/>
          <w:sz w:val="32"/>
          <w:szCs w:val="32"/>
        </w:rPr>
        <w:t>四、政府信息公开行政复议、行政诉讼情况</w:t>
      </w:r>
    </w:p>
    <w:tbl>
      <w:tblPr>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16"/>
        <w:gridCol w:w="816"/>
        <w:gridCol w:w="816"/>
        <w:gridCol w:w="816"/>
        <w:gridCol w:w="516"/>
        <w:gridCol w:w="816"/>
        <w:gridCol w:w="816"/>
        <w:gridCol w:w="816"/>
        <w:gridCol w:w="816"/>
        <w:gridCol w:w="516"/>
        <w:gridCol w:w="816"/>
        <w:gridCol w:w="816"/>
        <w:gridCol w:w="816"/>
        <w:gridCol w:w="816"/>
        <w:gridCol w:w="4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行政复议</w:t>
            </w:r>
          </w:p>
        </w:tc>
        <w:tc>
          <w:tcPr>
            <w:tcW w:w="6428" w:type="dxa"/>
            <w:gridSpan w:val="10"/>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结果维持</w:t>
            </w:r>
          </w:p>
        </w:tc>
        <w:tc>
          <w:tcPr>
            <w:tcW w:w="642"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 纠正</w:t>
            </w:r>
          </w:p>
        </w:tc>
        <w:tc>
          <w:tcPr>
            <w:tcW w:w="642"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其他 结果</w:t>
            </w:r>
          </w:p>
        </w:tc>
        <w:tc>
          <w:tcPr>
            <w:tcW w:w="642"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尚未 审结</w:t>
            </w:r>
          </w:p>
        </w:tc>
        <w:tc>
          <w:tcPr>
            <w:tcW w:w="642"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总计</w:t>
            </w:r>
          </w:p>
        </w:tc>
        <w:tc>
          <w:tcPr>
            <w:tcW w:w="3213"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未经复议直接起诉</w:t>
            </w:r>
          </w:p>
        </w:tc>
        <w:tc>
          <w:tcPr>
            <w:tcW w:w="3215"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642"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642"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sz w:val="24"/>
                <w:szCs w:val="24"/>
              </w:rPr>
            </w:pP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 维持</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 纠正</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其他 结果</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尚未 审结</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总计</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 维持</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结果 纠正</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其他 结果</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尚未 审结</w:t>
            </w:r>
          </w:p>
        </w:tc>
        <w:tc>
          <w:tcPr>
            <w:tcW w:w="6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黑体" w:hAnsi="宋体" w:eastAsia="黑体" w:cs="黑体"/>
                <w:color w:val="000000"/>
                <w:sz w:val="20"/>
                <w:szCs w:val="20"/>
              </w:rPr>
              <w:t> 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2"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黑体" w:hAnsi="宋体" w:eastAsia="黑体" w:cs="黑体"/>
                <w:color w:val="000000"/>
                <w:sz w:val="20"/>
                <w:szCs w:val="20"/>
              </w:rPr>
              <w:t>0</w:t>
            </w:r>
            <w:r>
              <w:rPr>
                <w:rFonts w:hint="eastAsia" w:ascii="宋体" w:hAnsi="宋体" w:eastAsia="宋体" w:cs="宋体"/>
                <w:color w:val="000000"/>
                <w:sz w:val="20"/>
                <w:szCs w:val="20"/>
              </w:rPr>
              <w:t> </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黑体" w:hAnsi="宋体" w:eastAsia="黑体" w:cs="黑体"/>
                <w:color w:val="000000"/>
                <w:sz w:val="20"/>
                <w:szCs w:val="20"/>
              </w:rPr>
              <w:t>0</w:t>
            </w:r>
            <w:r>
              <w:rPr>
                <w:rFonts w:hint="eastAsia" w:ascii="宋体" w:hAnsi="宋体" w:eastAsia="宋体" w:cs="宋体"/>
                <w:color w:val="000000"/>
                <w:sz w:val="20"/>
                <w:szCs w:val="20"/>
              </w:rPr>
              <w:t> </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黑体" w:hAnsi="宋体" w:eastAsia="黑体" w:cs="黑体"/>
                <w:color w:val="000000"/>
                <w:sz w:val="20"/>
                <w:szCs w:val="20"/>
              </w:rPr>
              <w:t>0</w:t>
            </w:r>
            <w:r>
              <w:rPr>
                <w:rFonts w:hint="eastAsia" w:ascii="宋体" w:hAnsi="宋体" w:eastAsia="宋体" w:cs="宋体"/>
                <w:color w:val="000000"/>
                <w:sz w:val="20"/>
                <w:szCs w:val="20"/>
              </w:rPr>
              <w:t> </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宋体" w:hAnsi="宋体" w:eastAsia="宋体" w:cs="宋体"/>
                <w:color w:val="000000"/>
                <w:sz w:val="20"/>
                <w:szCs w:val="20"/>
              </w:rPr>
              <w:t> </w:t>
            </w:r>
            <w:r>
              <w:rPr>
                <w:rFonts w:hint="eastAsia" w:ascii="黑体" w:hAnsi="宋体" w:eastAsia="黑体" w:cs="黑体"/>
                <w:color w:val="000000"/>
                <w:sz w:val="20"/>
                <w:szCs w:val="20"/>
              </w:rPr>
              <w:t>0</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firstLine="0"/>
              <w:jc w:val="center"/>
            </w:pPr>
            <w:r>
              <w:rPr>
                <w:rFonts w:hint="eastAsia" w:ascii="黑体" w:hAnsi="宋体" w:eastAsia="黑体" w:cs="黑体"/>
                <w:color w:val="000000"/>
                <w:sz w:val="20"/>
                <w:szCs w:val="20"/>
              </w:rPr>
              <w:t>0</w:t>
            </w:r>
            <w:r>
              <w:rPr>
                <w:rFonts w:hint="eastAsia" w:ascii="宋体" w:hAnsi="宋体" w:eastAsia="宋体" w:cs="宋体"/>
                <w:color w:val="000000"/>
                <w:sz w:val="20"/>
                <w:szCs w:val="20"/>
              </w:rPr>
              <w:t> </w:t>
            </w:r>
          </w:p>
        </w:tc>
        <w:tc>
          <w:tcPr>
            <w:tcW w:w="6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color w:val="000000"/>
                <w:sz w:val="24"/>
                <w:szCs w:val="24"/>
                <w:bdr w:val="none" w:color="auto" w:sz="0" w:space="0"/>
              </w:rPr>
              <w:t>0</w:t>
            </w:r>
          </w:p>
        </w:tc>
      </w:tr>
    </w:tbl>
    <w:p>
      <w:pPr>
        <w:pStyle w:val="3"/>
        <w:keepNext w:val="0"/>
        <w:keepLines w:val="0"/>
        <w:widowControl/>
        <w:suppressLineNumbers w:val="0"/>
        <w:autoSpaceDE w:val="0"/>
        <w:autoSpaceDN/>
        <w:spacing w:line="576" w:lineRule="atLeast"/>
        <w:ind w:left="0" w:firstLine="640"/>
      </w:pPr>
      <w:r>
        <w:rPr>
          <w:rFonts w:hint="eastAsia" w:ascii="黑体" w:hAnsi="宋体" w:eastAsia="黑体" w:cs="黑体"/>
          <w:sz w:val="32"/>
          <w:szCs w:val="32"/>
        </w:rPr>
        <w:t>五、存在的主要问题及改进情况</w:t>
      </w:r>
    </w:p>
    <w:p>
      <w:pPr>
        <w:pStyle w:val="3"/>
        <w:keepNext w:val="0"/>
        <w:keepLines w:val="0"/>
        <w:widowControl/>
        <w:suppressLineNumbers w:val="0"/>
        <w:autoSpaceDE w:val="0"/>
        <w:autoSpaceDN/>
        <w:spacing w:line="576" w:lineRule="atLeast"/>
        <w:ind w:left="0" w:firstLine="640"/>
      </w:pPr>
      <w:r>
        <w:rPr>
          <w:rFonts w:hint="eastAsia" w:ascii="仿宋_GB2312" w:eastAsia="仿宋_GB2312" w:cs="仿宋_GB2312"/>
          <w:sz w:val="32"/>
          <w:szCs w:val="32"/>
        </w:rPr>
        <w:t>2022年我镇政府信息公开工作总体上能按照《中华人民共和国政府信息公开条例》和区政府的要求有效开展，并取得一定成效。但仍存在一些问题：一是政府信息公开意识不强，公开时效性、公开内容质量有待加强；二是政府信息公开形式单一，有待加强宣传推广；三是基层政务公开工作人员业务水平和工作积极性不高。</w:t>
      </w:r>
    </w:p>
    <w:p>
      <w:pPr>
        <w:pStyle w:val="3"/>
        <w:keepNext w:val="0"/>
        <w:keepLines w:val="0"/>
        <w:widowControl/>
        <w:suppressLineNumbers w:val="0"/>
        <w:spacing w:line="600" w:lineRule="atLeast"/>
        <w:ind w:left="0" w:firstLine="420"/>
        <w:rPr>
          <w:rFonts w:hint="default" w:ascii="仿宋体" w:hAnsi="仿宋体" w:cs="仿宋体"/>
          <w:sz w:val="24"/>
          <w:szCs w:val="24"/>
        </w:rPr>
      </w:pPr>
      <w:r>
        <w:rPr>
          <w:rFonts w:hint="eastAsia" w:ascii="仿宋_GB2312" w:hAnsi="仿宋体" w:eastAsia="仿宋_GB2312" w:cs="仿宋_GB2312"/>
          <w:sz w:val="28"/>
          <w:szCs w:val="28"/>
        </w:rPr>
        <w:t xml:space="preserve">  </w:t>
      </w:r>
      <w:r>
        <w:rPr>
          <w:rFonts w:hint="eastAsia" w:ascii="仿宋_GB2312" w:hAnsi="仿宋体" w:eastAsia="仿宋_GB2312" w:cs="仿宋_GB2312"/>
          <w:sz w:val="32"/>
          <w:szCs w:val="32"/>
        </w:rPr>
        <w:t>  对2022年存在问题在本年度的已经采取的措施</w:t>
      </w:r>
      <w:r>
        <w:rPr>
          <w:rFonts w:hint="eastAsia" w:ascii="仿宋_GB2312" w:hAnsi="仿宋体" w:eastAsia="仿宋_GB2312" w:cs="仿宋_GB2312"/>
          <w:sz w:val="32"/>
          <w:szCs w:val="32"/>
          <w:lang w:eastAsia="zh-CN"/>
        </w:rPr>
        <w:t>，</w:t>
      </w:r>
      <w:r>
        <w:rPr>
          <w:rFonts w:hint="eastAsia" w:ascii="仿宋_GB2312" w:hAnsi="仿宋体" w:eastAsia="仿宋_GB2312" w:cs="仿宋_GB2312"/>
          <w:sz w:val="32"/>
          <w:szCs w:val="32"/>
        </w:rPr>
        <w:t>我镇将从以下几方面对信息公开工作加以改进：一是充实政府信息公开内容，突出重点、热点和难点问题，切实发挥好信息公开平台的桥梁作用；二是充分利用区政府网站、微信公众号、公示公开栏等渠道主动公开政府信息，提高群众对全镇工作的知晓率；三是组织全镇机关工作人员，尤其是具体承办人员加强政府信息公开工作的学习和培训，规范政府信息公开工作。</w:t>
      </w:r>
    </w:p>
    <w:p>
      <w:pPr>
        <w:pStyle w:val="3"/>
        <w:keepNext w:val="0"/>
        <w:keepLines w:val="0"/>
        <w:widowControl/>
        <w:suppressLineNumbers w:val="0"/>
        <w:autoSpaceDE w:val="0"/>
        <w:autoSpaceDN/>
        <w:spacing w:line="576" w:lineRule="atLeast"/>
        <w:ind w:left="0" w:firstLine="640"/>
      </w:pPr>
      <w:r>
        <w:rPr>
          <w:rFonts w:hint="eastAsia" w:ascii="黑体" w:hAnsi="宋体" w:eastAsia="黑体" w:cs="黑体"/>
          <w:sz w:val="32"/>
          <w:szCs w:val="32"/>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jc w:val="left"/>
        <w:rPr>
          <w:rFonts w:ascii="微软雅黑" w:hAnsi="微软雅黑" w:eastAsia="微软雅黑" w:cs="微软雅黑"/>
          <w:i w:val="0"/>
          <w:iCs w:val="0"/>
          <w:caps w:val="0"/>
          <w:color w:val="000000"/>
          <w:spacing w:val="0"/>
          <w:sz w:val="24"/>
          <w:szCs w:val="24"/>
        </w:rPr>
      </w:pPr>
      <w:r>
        <w:rPr>
          <w:rFonts w:ascii="仿宋_GB2312" w:hAnsi="仿宋_GB2312" w:eastAsia="仿宋_GB2312" w:cs="仿宋_GB2312"/>
          <w:i w:val="0"/>
          <w:iCs w:val="0"/>
          <w:caps w:val="0"/>
          <w:color w:val="000000"/>
          <w:spacing w:val="0"/>
          <w:sz w:val="32"/>
          <w:szCs w:val="32"/>
          <w:bdr w:val="none" w:color="auto" w:sz="0" w:space="0"/>
          <w:shd w:val="clear" w:fill="FFFFFF"/>
        </w:rPr>
        <w:t>1.收取信息处理费情况。本年度未收取关于依申请公开费用。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仿宋_GB2312" w:hAnsi="仿宋_GB2312" w:eastAsia="仿宋_GB2312" w:cs="仿宋_GB2312"/>
          <w:i w:val="0"/>
          <w:iCs w:val="0"/>
          <w:caps w:val="0"/>
          <w:color w:val="000000"/>
          <w:spacing w:val="0"/>
          <w:sz w:val="32"/>
          <w:szCs w:val="32"/>
          <w:bdr w:val="none" w:color="auto" w:sz="0" w:space="0"/>
          <w:shd w:val="clear" w:fill="FFFFFF"/>
        </w:rPr>
        <w:t>2.人大代表建议和政协提案办理情况。本年度，承办人大代表建议0件，承办政协提案0件。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仿宋_GB2312" w:hAnsi="仿宋_GB2312" w:eastAsia="仿宋_GB2312" w:cs="仿宋_GB2312"/>
          <w:i w:val="0"/>
          <w:iCs w:val="0"/>
          <w:caps w:val="0"/>
          <w:color w:val="000000"/>
          <w:spacing w:val="0"/>
          <w:sz w:val="32"/>
          <w:szCs w:val="32"/>
          <w:bdr w:val="none" w:color="auto" w:sz="0" w:space="0"/>
          <w:shd w:val="clear" w:fill="FFFFFF"/>
        </w:rPr>
        <w:t>3.政务公开工作创新情况。主动拓宽信息公开渠道，优化公开方式，将政务公开工作落到实处。切实保障群众知情权、表达权、参与权和监督权。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仿宋_GB2312" w:hAnsi="仿宋_GB2312" w:eastAsia="仿宋_GB2312" w:cs="仿宋_GB2312"/>
          <w:i w:val="0"/>
          <w:iCs w:val="0"/>
          <w:caps w:val="0"/>
          <w:color w:val="000000"/>
          <w:spacing w:val="0"/>
          <w:sz w:val="32"/>
          <w:szCs w:val="32"/>
          <w:bdr w:val="none" w:color="auto" w:sz="0" w:space="0"/>
          <w:shd w:val="clear" w:fill="FFFFFF"/>
        </w:rPr>
        <w:t>4.年度工作要点落实情况。围绕重点领域信息公开、逐项细化，逐项督察推进，促进每项重点任务有效落实。明确责任科室，全面做好政务公开工作。</w:t>
      </w:r>
    </w:p>
    <w:p>
      <w:pPr>
        <w:pStyle w:val="3"/>
        <w:keepNext w:val="0"/>
        <w:keepLines w:val="0"/>
        <w:widowControl/>
        <w:suppressLineNumbers w:val="0"/>
        <w:spacing w:line="600" w:lineRule="atLeast"/>
        <w:ind w:left="0" w:firstLine="420"/>
        <w:rPr>
          <w:rFonts w:hint="default" w:ascii="仿宋体" w:hAnsi="仿宋体" w:cs="仿宋体"/>
          <w:sz w:val="24"/>
          <w:szCs w:val="24"/>
        </w:rPr>
      </w:pPr>
      <w:r>
        <w:rPr>
          <w:rFonts w:hint="default" w:ascii="Calibri" w:hAnsi="Calibri" w:cs="Calibri"/>
          <w:sz w:val="21"/>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体">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MmM5ZmZjNzZmZjQ3NWVjNzVlYWVkYjc2OTc2NzcifQ=="/>
  </w:docVars>
  <w:rsids>
    <w:rsidRoot w:val="00000000"/>
    <w:rsid w:val="0FC57D21"/>
    <w:rsid w:val="23980B80"/>
    <w:rsid w:val="24F94362"/>
    <w:rsid w:val="3DF20FA6"/>
    <w:rsid w:val="422D1D86"/>
    <w:rsid w:val="4B311236"/>
    <w:rsid w:val="55C61759"/>
    <w:rsid w:val="5D2D7A34"/>
    <w:rsid w:val="685C64EF"/>
    <w:rsid w:val="71027AB6"/>
    <w:rsid w:val="72123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1840</Words>
  <Characters>1926</Characters>
  <Lines>0</Lines>
  <Paragraphs>0</Paragraphs>
  <TotalTime>238</TotalTime>
  <ScaleCrop>false</ScaleCrop>
  <LinksUpToDate>false</LinksUpToDate>
  <CharactersWithSpaces>2158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种子</cp:lastModifiedBy>
  <cp:lastPrinted>2023-01-16T03:23:00Z</cp:lastPrinted>
  <dcterms:modified xsi:type="dcterms:W3CDTF">2023-02-15T02:05:51Z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F4B72E5B790D4EA5B83BB19E2C4A57B6</vt:lpwstr>
  </property>
</Properties>
</file>