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方正小标宋简体" w:hAnsi="宋体" w:eastAsia="方正小标宋简体" w:cs="宋体"/>
          <w:bCs/>
          <w:color w:val="auto"/>
          <w:sz w:val="44"/>
          <w:szCs w:val="44"/>
        </w:rPr>
      </w:pPr>
      <w:bookmarkStart w:id="0" w:name="_GoBack"/>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z w:val="44"/>
          <w:szCs w:val="44"/>
        </w:rPr>
        <w:t>博山区应急管理局201</w:t>
      </w:r>
      <w:r>
        <w:rPr>
          <w:rFonts w:hint="eastAsia" w:ascii="方正小标宋简体" w:hAnsi="宋体" w:eastAsia="方正小标宋简体" w:cs="宋体"/>
          <w:bCs/>
          <w:color w:val="auto"/>
          <w:sz w:val="44"/>
          <w:szCs w:val="44"/>
          <w:lang w:val="en-US" w:eastAsia="zh-CN"/>
        </w:rPr>
        <w:t>9</w:t>
      </w:r>
      <w:r>
        <w:rPr>
          <w:rFonts w:hint="eastAsia" w:ascii="方正小标宋简体" w:hAnsi="宋体" w:eastAsia="方正小标宋简体" w:cs="宋体"/>
          <w:bCs/>
          <w:color w:val="auto"/>
          <w:sz w:val="44"/>
          <w:szCs w:val="44"/>
        </w:rPr>
        <w:t>年度政府信息</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宋体" w:eastAsia="方正小标宋简体" w:cs="宋体"/>
          <w:bCs/>
          <w:color w:val="auto"/>
          <w:sz w:val="44"/>
          <w:szCs w:val="44"/>
        </w:rPr>
      </w:pPr>
      <w:r>
        <w:rPr>
          <w:rFonts w:hint="eastAsia" w:ascii="方正小标宋简体" w:hAnsi="宋体" w:eastAsia="方正小标宋简体" w:cs="宋体"/>
          <w:bCs/>
          <w:color w:val="auto"/>
          <w:sz w:val="44"/>
          <w:szCs w:val="44"/>
        </w:rPr>
        <w:t>公开年度报告</w:t>
      </w:r>
    </w:p>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仿宋" w:hAnsi="仿宋" w:eastAsia="仿宋" w:cs="仿宋"/>
          <w:bCs/>
          <w:color w:val="auto"/>
          <w:sz w:val="44"/>
          <w:szCs w:val="44"/>
        </w:rPr>
      </w:pP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w:t>
      </w:r>
      <w:r>
        <w:rPr>
          <w:rFonts w:hint="eastAsia" w:ascii="黑体" w:hAnsi="黑体" w:eastAsia="黑体" w:cs="黑体"/>
          <w:color w:val="auto"/>
          <w:sz w:val="32"/>
          <w:szCs w:val="32"/>
          <w:lang w:eastAsia="zh-CN"/>
        </w:rPr>
        <w:t>总体情况</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76" w:lineRule="exact"/>
        <w:ind w:right="0" w:firstLine="640" w:firstLineChars="200"/>
        <w:jc w:val="left"/>
        <w:textAlignment w:val="auto"/>
        <w:rPr>
          <w:rFonts w:hint="eastAsia" w:ascii="仿宋_GB2312" w:hAnsi="仿宋_GB2312" w:eastAsia="仿宋_GB2312" w:cs="仿宋_GB2312"/>
          <w:b w:val="0"/>
          <w:bCs w:val="0"/>
          <w:i w:val="0"/>
          <w:caps w:val="0"/>
          <w:color w:val="auto"/>
          <w:spacing w:val="0"/>
          <w:sz w:val="32"/>
          <w:szCs w:val="32"/>
        </w:rPr>
      </w:pPr>
      <w:r>
        <w:rPr>
          <w:rFonts w:hint="eastAsia" w:ascii="仿宋_GB2312" w:hAnsi="仿宋_GB2312" w:eastAsia="仿宋_GB2312" w:cs="仿宋_GB2312"/>
          <w:b w:val="0"/>
          <w:bCs w:val="0"/>
          <w:i w:val="0"/>
          <w:caps w:val="0"/>
          <w:color w:val="auto"/>
          <w:spacing w:val="0"/>
          <w:sz w:val="32"/>
          <w:szCs w:val="32"/>
        </w:rPr>
        <w:t>201</w:t>
      </w:r>
      <w:r>
        <w:rPr>
          <w:rFonts w:hint="eastAsia" w:ascii="仿宋_GB2312" w:hAnsi="仿宋_GB2312" w:eastAsia="仿宋_GB2312" w:cs="仿宋_GB2312"/>
          <w:b w:val="0"/>
          <w:bCs w:val="0"/>
          <w:i w:val="0"/>
          <w:caps w:val="0"/>
          <w:color w:val="auto"/>
          <w:spacing w:val="0"/>
          <w:sz w:val="32"/>
          <w:szCs w:val="32"/>
          <w:lang w:val="en-US" w:eastAsia="zh-CN"/>
        </w:rPr>
        <w:t>9</w:t>
      </w:r>
      <w:r>
        <w:rPr>
          <w:rFonts w:hint="eastAsia" w:ascii="仿宋_GB2312" w:hAnsi="仿宋_GB2312" w:eastAsia="仿宋_GB2312" w:cs="仿宋_GB2312"/>
          <w:b w:val="0"/>
          <w:bCs w:val="0"/>
          <w:i w:val="0"/>
          <w:caps w:val="0"/>
          <w:color w:val="auto"/>
          <w:spacing w:val="0"/>
          <w:sz w:val="32"/>
          <w:szCs w:val="32"/>
        </w:rPr>
        <w:t>年，</w:t>
      </w:r>
      <w:r>
        <w:rPr>
          <w:rFonts w:hint="eastAsia" w:ascii="仿宋_GB2312" w:hAnsi="仿宋_GB2312" w:eastAsia="仿宋_GB2312" w:cs="仿宋_GB2312"/>
          <w:b w:val="0"/>
          <w:bCs w:val="0"/>
          <w:i w:val="0"/>
          <w:caps w:val="0"/>
          <w:color w:val="auto"/>
          <w:spacing w:val="0"/>
          <w:sz w:val="32"/>
          <w:szCs w:val="32"/>
          <w:lang w:eastAsia="zh-CN"/>
        </w:rPr>
        <w:t>在区委、区政府的正确领导下，</w:t>
      </w:r>
      <w:r>
        <w:rPr>
          <w:rFonts w:hint="eastAsia" w:ascii="仿宋_GB2312" w:hAnsi="仿宋_GB2312" w:eastAsia="仿宋_GB2312" w:cs="仿宋_GB2312"/>
          <w:b w:val="0"/>
          <w:bCs w:val="0"/>
          <w:i w:val="0"/>
          <w:caps w:val="0"/>
          <w:color w:val="auto"/>
          <w:spacing w:val="0"/>
          <w:sz w:val="32"/>
          <w:szCs w:val="32"/>
        </w:rPr>
        <w:t>我</w:t>
      </w:r>
      <w:r>
        <w:rPr>
          <w:rFonts w:hint="eastAsia" w:ascii="仿宋_GB2312" w:hAnsi="仿宋_GB2312" w:eastAsia="仿宋_GB2312" w:cs="仿宋_GB2312"/>
          <w:b w:val="0"/>
          <w:bCs w:val="0"/>
          <w:i w:val="0"/>
          <w:caps w:val="0"/>
          <w:color w:val="auto"/>
          <w:spacing w:val="0"/>
          <w:sz w:val="32"/>
          <w:szCs w:val="32"/>
          <w:lang w:eastAsia="zh-CN"/>
        </w:rPr>
        <w:t>局</w:t>
      </w:r>
      <w:r>
        <w:rPr>
          <w:rFonts w:hint="eastAsia" w:ascii="仿宋_GB2312" w:hAnsi="仿宋_GB2312" w:eastAsia="仿宋_GB2312" w:cs="仿宋_GB2312"/>
          <w:b w:val="0"/>
          <w:bCs w:val="0"/>
          <w:i w:val="0"/>
          <w:caps w:val="0"/>
          <w:color w:val="auto"/>
          <w:spacing w:val="0"/>
          <w:sz w:val="32"/>
          <w:szCs w:val="32"/>
        </w:rPr>
        <w:t>深入学习领会党的</w:t>
      </w:r>
      <w:r>
        <w:rPr>
          <w:rFonts w:hint="eastAsia" w:ascii="仿宋_GB2312" w:hAnsi="仿宋_GB2312" w:eastAsia="仿宋_GB2312" w:cs="仿宋_GB2312"/>
          <w:b w:val="0"/>
          <w:bCs w:val="0"/>
          <w:i w:val="0"/>
          <w:caps w:val="0"/>
          <w:color w:val="auto"/>
          <w:spacing w:val="0"/>
          <w:sz w:val="32"/>
          <w:szCs w:val="32"/>
          <w:lang w:eastAsia="zh-CN"/>
        </w:rPr>
        <w:t>十九届四中全会</w:t>
      </w:r>
      <w:r>
        <w:rPr>
          <w:rFonts w:hint="eastAsia" w:ascii="仿宋_GB2312" w:hAnsi="仿宋_GB2312" w:eastAsia="仿宋_GB2312" w:cs="仿宋_GB2312"/>
          <w:b w:val="0"/>
          <w:bCs w:val="0"/>
          <w:i w:val="0"/>
          <w:caps w:val="0"/>
          <w:color w:val="auto"/>
          <w:spacing w:val="0"/>
          <w:sz w:val="32"/>
          <w:szCs w:val="32"/>
        </w:rPr>
        <w:t>精神，全面贯彻《</w:t>
      </w:r>
      <w:r>
        <w:rPr>
          <w:rFonts w:hint="eastAsia" w:ascii="仿宋_GB2312" w:hAnsi="仿宋_GB2312" w:eastAsia="仿宋_GB2312" w:cs="仿宋_GB2312"/>
          <w:b w:val="0"/>
          <w:bCs w:val="0"/>
          <w:color w:val="auto"/>
          <w:sz w:val="32"/>
          <w:szCs w:val="32"/>
        </w:rPr>
        <w:t>中华人民共和国政府信息公开条例</w:t>
      </w:r>
      <w:r>
        <w:rPr>
          <w:rFonts w:hint="eastAsia" w:ascii="仿宋_GB2312" w:hAnsi="仿宋_GB2312" w:eastAsia="仿宋_GB2312" w:cs="仿宋_GB2312"/>
          <w:b w:val="0"/>
          <w:bCs w:val="0"/>
          <w:i w:val="0"/>
          <w:caps w:val="0"/>
          <w:color w:val="auto"/>
          <w:spacing w:val="0"/>
          <w:sz w:val="32"/>
          <w:szCs w:val="32"/>
        </w:rPr>
        <w:t>》及实施细则等文件精神，认真落实《</w:t>
      </w:r>
      <w:r>
        <w:rPr>
          <w:rFonts w:hint="eastAsia" w:ascii="仿宋_GB2312" w:hAnsi="仿宋_GB2312" w:eastAsia="仿宋_GB2312" w:cs="仿宋_GB2312"/>
          <w:b w:val="0"/>
          <w:bCs w:val="0"/>
          <w:color w:val="auto"/>
          <w:sz w:val="32"/>
          <w:szCs w:val="32"/>
        </w:rPr>
        <w:t>山东省政府信息公开办法</w:t>
      </w:r>
      <w:r>
        <w:rPr>
          <w:rFonts w:hint="eastAsia" w:ascii="仿宋_GB2312" w:hAnsi="仿宋_GB2312" w:eastAsia="仿宋_GB2312" w:cs="仿宋_GB2312"/>
          <w:b w:val="0"/>
          <w:bCs w:val="0"/>
          <w:i w:val="0"/>
          <w:caps w:val="0"/>
          <w:color w:val="auto"/>
          <w:spacing w:val="0"/>
          <w:sz w:val="32"/>
          <w:szCs w:val="32"/>
        </w:rPr>
        <w:t>》部署和要求，不断加强制度建设、畅通公开途径、注重政策解读、积极回应关切，结合部门工作实际狠抓落实，推进政府信息公开工作取得实效。</w:t>
      </w:r>
      <w:r>
        <w:rPr>
          <w:rFonts w:hint="eastAsia" w:ascii="仿宋_GB2312" w:hAnsi="仿宋_GB2312" w:eastAsia="仿宋_GB2312" w:cs="仿宋_GB2312"/>
          <w:b/>
          <w:bCs/>
          <w:i w:val="0"/>
          <w:caps w:val="0"/>
          <w:color w:val="auto"/>
          <w:spacing w:val="0"/>
          <w:sz w:val="32"/>
          <w:szCs w:val="32"/>
          <w:shd w:val="clear" w:fill="FFFFFF"/>
          <w:lang w:eastAsia="zh-CN"/>
        </w:rPr>
        <w:t>一是</w:t>
      </w:r>
      <w:r>
        <w:rPr>
          <w:rFonts w:hint="eastAsia" w:ascii="仿宋_GB2312" w:hAnsi="仿宋_GB2312" w:eastAsia="仿宋_GB2312" w:cs="仿宋_GB2312"/>
          <w:b/>
          <w:bCs/>
          <w:i w:val="0"/>
          <w:caps w:val="0"/>
          <w:color w:val="auto"/>
          <w:spacing w:val="0"/>
          <w:sz w:val="32"/>
          <w:szCs w:val="32"/>
          <w:shd w:val="clear" w:fill="FFFFFF"/>
        </w:rPr>
        <w:t>加强组织领导，健全工作机制。</w:t>
      </w:r>
      <w:r>
        <w:rPr>
          <w:rFonts w:hint="eastAsia" w:ascii="仿宋_GB2312" w:hAnsi="仿宋_GB2312" w:eastAsia="仿宋_GB2312" w:cs="仿宋_GB2312"/>
          <w:b w:val="0"/>
          <w:bCs w:val="0"/>
          <w:i w:val="0"/>
          <w:caps w:val="0"/>
          <w:color w:val="auto"/>
          <w:spacing w:val="0"/>
          <w:sz w:val="32"/>
          <w:szCs w:val="32"/>
          <w:shd w:val="clear" w:fill="FFFFFF"/>
        </w:rPr>
        <w:t>我局始终把做好政务信息公开工作列入单位工作议事日程。同时，根据人员变动，及时对局政府信息公开工作领导小组人员进行调整充实。健全领导机制，确保</w:t>
      </w:r>
      <w:r>
        <w:rPr>
          <w:rFonts w:hint="eastAsia" w:ascii="仿宋_GB2312" w:hAnsi="仿宋_GB2312" w:eastAsia="仿宋_GB2312" w:cs="仿宋_GB2312"/>
          <w:b w:val="0"/>
          <w:bCs w:val="0"/>
          <w:i w:val="0"/>
          <w:caps w:val="0"/>
          <w:color w:val="auto"/>
          <w:spacing w:val="0"/>
          <w:sz w:val="32"/>
          <w:szCs w:val="32"/>
          <w:shd w:val="clear" w:fill="FFFFFF"/>
          <w:lang w:eastAsia="zh-CN"/>
        </w:rPr>
        <w:t>区应急管理</w:t>
      </w:r>
      <w:r>
        <w:rPr>
          <w:rFonts w:hint="eastAsia" w:ascii="仿宋_GB2312" w:hAnsi="仿宋_GB2312" w:eastAsia="仿宋_GB2312" w:cs="仿宋_GB2312"/>
          <w:b w:val="0"/>
          <w:bCs w:val="0"/>
          <w:i w:val="0"/>
          <w:caps w:val="0"/>
          <w:color w:val="auto"/>
          <w:spacing w:val="0"/>
          <w:sz w:val="32"/>
          <w:szCs w:val="32"/>
          <w:shd w:val="clear" w:fill="FFFFFF"/>
        </w:rPr>
        <w:t>局的政府信息工作顺利开展。 </w:t>
      </w:r>
      <w:r>
        <w:rPr>
          <w:rFonts w:hint="eastAsia" w:ascii="仿宋_GB2312" w:hAnsi="仿宋_GB2312" w:eastAsia="仿宋_GB2312" w:cs="仿宋_GB2312"/>
          <w:b/>
          <w:bCs/>
          <w:i w:val="0"/>
          <w:caps w:val="0"/>
          <w:color w:val="auto"/>
          <w:spacing w:val="0"/>
          <w:sz w:val="32"/>
          <w:szCs w:val="32"/>
          <w:shd w:val="clear" w:fill="FFFFFF"/>
          <w:lang w:eastAsia="zh-CN"/>
        </w:rPr>
        <w:t>二是</w:t>
      </w:r>
      <w:r>
        <w:rPr>
          <w:rFonts w:hint="eastAsia" w:ascii="仿宋_GB2312" w:hAnsi="仿宋_GB2312" w:eastAsia="仿宋_GB2312" w:cs="仿宋_GB2312"/>
          <w:b/>
          <w:bCs/>
          <w:i w:val="0"/>
          <w:caps w:val="0"/>
          <w:color w:val="auto"/>
          <w:spacing w:val="0"/>
          <w:sz w:val="32"/>
          <w:szCs w:val="32"/>
          <w:shd w:val="clear" w:fill="FFFFFF"/>
        </w:rPr>
        <w:t>建立健全相关制度，进一步规范政府信息公开工作。</w:t>
      </w:r>
      <w:r>
        <w:rPr>
          <w:rFonts w:hint="eastAsia" w:ascii="仿宋_GB2312" w:hAnsi="仿宋_GB2312" w:eastAsia="仿宋_GB2312" w:cs="仿宋_GB2312"/>
          <w:b w:val="0"/>
          <w:bCs w:val="0"/>
          <w:i w:val="0"/>
          <w:caps w:val="0"/>
          <w:color w:val="auto"/>
          <w:spacing w:val="0"/>
          <w:sz w:val="32"/>
          <w:szCs w:val="32"/>
          <w:shd w:val="clear" w:fill="FFFFFF"/>
          <w:lang w:eastAsia="zh-CN"/>
        </w:rPr>
        <w:t>对全局工作人员进行保密工作业务培训，制定相关保密制度，</w:t>
      </w:r>
      <w:r>
        <w:rPr>
          <w:rFonts w:hint="eastAsia" w:ascii="仿宋_GB2312" w:hAnsi="仿宋_GB2312" w:eastAsia="仿宋_GB2312" w:cs="仿宋_GB2312"/>
          <w:b w:val="0"/>
          <w:bCs w:val="0"/>
          <w:i w:val="0"/>
          <w:caps w:val="0"/>
          <w:color w:val="auto"/>
          <w:spacing w:val="0"/>
          <w:sz w:val="32"/>
          <w:szCs w:val="32"/>
          <w:shd w:val="clear" w:fill="FFFFFF"/>
        </w:rPr>
        <w:t>真正做到“涉密不上网，上网不涉密”，“谁上网，谁负责，谁审批谁负责”的相关要求，进一步保障了</w:t>
      </w:r>
      <w:r>
        <w:rPr>
          <w:rFonts w:hint="eastAsia" w:ascii="仿宋_GB2312" w:hAnsi="仿宋_GB2312" w:eastAsia="仿宋_GB2312" w:cs="仿宋_GB2312"/>
          <w:b w:val="0"/>
          <w:bCs w:val="0"/>
          <w:i w:val="0"/>
          <w:caps w:val="0"/>
          <w:color w:val="auto"/>
          <w:spacing w:val="0"/>
          <w:sz w:val="32"/>
          <w:szCs w:val="32"/>
          <w:shd w:val="clear" w:fill="FFFFFF"/>
          <w:lang w:eastAsia="zh-CN"/>
        </w:rPr>
        <w:t>安全生产和应急管理</w:t>
      </w:r>
      <w:r>
        <w:rPr>
          <w:rFonts w:hint="eastAsia" w:ascii="仿宋_GB2312" w:hAnsi="仿宋_GB2312" w:eastAsia="仿宋_GB2312" w:cs="仿宋_GB2312"/>
          <w:b w:val="0"/>
          <w:bCs w:val="0"/>
          <w:i w:val="0"/>
          <w:caps w:val="0"/>
          <w:color w:val="auto"/>
          <w:spacing w:val="0"/>
          <w:sz w:val="32"/>
          <w:szCs w:val="32"/>
          <w:shd w:val="clear" w:fill="FFFFFF"/>
        </w:rPr>
        <w:t>政府信息公开内容的安全性。</w:t>
      </w:r>
      <w:r>
        <w:rPr>
          <w:rFonts w:hint="eastAsia" w:ascii="仿宋_GB2312" w:hAnsi="仿宋_GB2312" w:eastAsia="仿宋_GB2312" w:cs="仿宋_GB2312"/>
          <w:b/>
          <w:bCs/>
          <w:i w:val="0"/>
          <w:caps w:val="0"/>
          <w:color w:val="auto"/>
          <w:spacing w:val="0"/>
          <w:sz w:val="32"/>
          <w:szCs w:val="32"/>
          <w:shd w:val="clear" w:fill="FFFFFF"/>
          <w:lang w:eastAsia="zh-CN"/>
        </w:rPr>
        <w:t>三是</w:t>
      </w:r>
      <w:r>
        <w:rPr>
          <w:rFonts w:hint="eastAsia" w:ascii="仿宋_GB2312" w:hAnsi="仿宋_GB2312" w:eastAsia="仿宋_GB2312" w:cs="仿宋_GB2312"/>
          <w:b/>
          <w:bCs/>
          <w:i w:val="0"/>
          <w:caps w:val="0"/>
          <w:color w:val="auto"/>
          <w:spacing w:val="0"/>
          <w:sz w:val="32"/>
          <w:szCs w:val="32"/>
          <w:shd w:val="clear" w:fill="FFFFFF"/>
        </w:rPr>
        <w:t>规范内容，提高政务信息质量。</w:t>
      </w:r>
      <w:r>
        <w:rPr>
          <w:rFonts w:hint="eastAsia" w:ascii="仿宋_GB2312" w:hAnsi="仿宋_GB2312" w:eastAsia="仿宋_GB2312" w:cs="仿宋_GB2312"/>
          <w:b w:val="0"/>
          <w:bCs w:val="0"/>
          <w:i w:val="0"/>
          <w:caps w:val="0"/>
          <w:color w:val="auto"/>
          <w:spacing w:val="0"/>
          <w:sz w:val="32"/>
          <w:szCs w:val="32"/>
          <w:shd w:val="clear" w:fill="FFFFFF"/>
        </w:rPr>
        <w:t>为进一步规范政府信息公开内容，提升我局政府信息公开工作水平，主要做法：一是公开的内容更加充实。我局对政务信息公开的范围、政务信息公开的内容、政务信息公开的形式、政务信息公开的制度等作了进一步的明确，按照组织健全、制度严密、标准统一、运作规范的要求,做好政务信息公开内容的补充以及已公开内容的删补。二是公开的时间更加及时。针对公开项目的不同情况，确定公开时间，做到常规性工作定期公开，临时性工作随时公开，固定性工作长期公开。通过政府信息公开网站及时公开单位信息。 </w:t>
      </w:r>
    </w:p>
    <w:p>
      <w:pPr>
        <w:pStyle w:val="4"/>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76" w:lineRule="exact"/>
        <w:ind w:firstLine="643" w:firstLineChars="200"/>
        <w:textAlignment w:val="auto"/>
        <w:rPr>
          <w:rFonts w:hint="eastAsia" w:ascii="仿宋_GB2312" w:hAnsi="Verdana" w:eastAsia="仿宋_GB2312"/>
          <w:color w:val="auto"/>
          <w:sz w:val="32"/>
          <w:szCs w:val="32"/>
        </w:rPr>
      </w:pPr>
      <w:r>
        <w:rPr>
          <w:rFonts w:hint="eastAsia" w:ascii="楷体_GB2312" w:hAnsi="楷体_GB2312" w:eastAsia="楷体_GB2312" w:cs="楷体_GB2312"/>
          <w:b/>
          <w:bCs/>
          <w:color w:val="auto"/>
          <w:sz w:val="32"/>
          <w:szCs w:val="32"/>
          <w:lang w:eastAsia="zh-CN"/>
        </w:rPr>
        <w:t>（一）</w:t>
      </w:r>
      <w:r>
        <w:rPr>
          <w:rFonts w:hint="eastAsia" w:ascii="楷体_GB2312" w:hAnsi="楷体_GB2312" w:eastAsia="楷体_GB2312" w:cs="楷体_GB2312"/>
          <w:b/>
          <w:bCs/>
          <w:color w:val="auto"/>
          <w:sz w:val="32"/>
          <w:szCs w:val="32"/>
        </w:rPr>
        <w:t>网站发布</w:t>
      </w:r>
      <w:r>
        <w:rPr>
          <w:rFonts w:hint="eastAsia" w:ascii="楷体_GB2312" w:hAnsi="楷体_GB2312" w:eastAsia="楷体_GB2312" w:cs="楷体_GB2312"/>
          <w:b/>
          <w:bCs/>
          <w:color w:val="auto"/>
          <w:sz w:val="32"/>
          <w:szCs w:val="32"/>
          <w:lang w:eastAsia="zh-CN"/>
        </w:rPr>
        <w:t>。</w:t>
      </w:r>
      <w:r>
        <w:rPr>
          <w:rFonts w:hint="eastAsia" w:ascii="仿宋_GB2312" w:hAnsi="Verdana" w:eastAsia="仿宋_GB2312"/>
          <w:color w:val="auto"/>
          <w:sz w:val="32"/>
          <w:szCs w:val="32"/>
        </w:rPr>
        <w:t>自</w:t>
      </w:r>
      <w:r>
        <w:rPr>
          <w:rFonts w:hint="eastAsia" w:ascii="仿宋_GB2312" w:hAnsi="Verdana" w:eastAsia="仿宋_GB2312"/>
          <w:color w:val="auto"/>
          <w:sz w:val="32"/>
          <w:szCs w:val="32"/>
          <w:lang w:val="en-US" w:eastAsia="zh-CN"/>
        </w:rPr>
        <w:t>2019</w:t>
      </w:r>
      <w:r>
        <w:rPr>
          <w:rFonts w:hint="eastAsia" w:ascii="仿宋_GB2312" w:hAnsi="Verdana" w:eastAsia="仿宋_GB2312"/>
          <w:color w:val="auto"/>
          <w:sz w:val="32"/>
          <w:szCs w:val="32"/>
        </w:rPr>
        <w:t>年1月1日至12月31日，</w:t>
      </w:r>
      <w:r>
        <w:rPr>
          <w:rFonts w:hint="eastAsia" w:ascii="仿宋_GB2312" w:hAnsi="Verdana" w:eastAsia="仿宋_GB2312"/>
          <w:color w:val="auto"/>
          <w:sz w:val="32"/>
          <w:szCs w:val="32"/>
          <w:lang w:eastAsia="zh-CN"/>
        </w:rPr>
        <w:t>博山人民政府</w:t>
      </w:r>
      <w:r>
        <w:rPr>
          <w:rFonts w:hint="eastAsia" w:ascii="仿宋_GB2312" w:hAnsi="Verdana" w:eastAsia="仿宋_GB2312"/>
          <w:color w:val="auto"/>
          <w:sz w:val="32"/>
          <w:szCs w:val="32"/>
        </w:rPr>
        <w:t>网站（http://www.boshan.gov.cn/，政府信息公开栏目地址）共发布政府公开信息</w:t>
      </w:r>
      <w:r>
        <w:rPr>
          <w:rFonts w:hint="eastAsia" w:ascii="仿宋_GB2312" w:hAnsi="Verdana" w:eastAsia="仿宋_GB2312"/>
          <w:color w:val="auto"/>
          <w:sz w:val="32"/>
          <w:szCs w:val="32"/>
          <w:lang w:val="en-US" w:eastAsia="zh-CN"/>
        </w:rPr>
        <w:t>60</w:t>
      </w:r>
      <w:r>
        <w:rPr>
          <w:rFonts w:hint="eastAsia" w:ascii="仿宋_GB2312" w:hAnsi="Verdana" w:eastAsia="仿宋_GB2312"/>
          <w:color w:val="auto"/>
          <w:sz w:val="32"/>
          <w:szCs w:val="32"/>
        </w:rPr>
        <w:t>条，其中</w:t>
      </w:r>
      <w:r>
        <w:rPr>
          <w:rFonts w:hint="eastAsia" w:ascii="仿宋_GB2312" w:hAnsi="Verdana" w:eastAsia="仿宋_GB2312"/>
          <w:color w:val="auto"/>
          <w:sz w:val="32"/>
          <w:szCs w:val="32"/>
          <w:lang w:eastAsia="zh-CN"/>
        </w:rPr>
        <w:t>通知公告</w:t>
      </w:r>
      <w:r>
        <w:rPr>
          <w:rFonts w:hint="eastAsia" w:ascii="仿宋_GB2312" w:hAnsi="Verdana" w:eastAsia="仿宋_GB2312"/>
          <w:color w:val="auto"/>
          <w:sz w:val="32"/>
          <w:szCs w:val="32"/>
          <w:lang w:val="en-US" w:eastAsia="zh-CN"/>
        </w:rPr>
        <w:t>11条，部门文件3条，计划总结1条，重大决策1条，区级政府部门责任清单1条，行政许可1条，其他行政权力1条，应急管理2条，政府采购1条，生产安全15条，随机抽查事项清单10条，抽查情况和查处结果9条，行政执法2条，信用信息“双公示”2条</w:t>
      </w:r>
      <w:r>
        <w:rPr>
          <w:rFonts w:hint="eastAsia" w:ascii="仿宋_GB2312" w:hAnsi="Verdana" w:eastAsia="仿宋_GB2312"/>
          <w:color w:val="auto"/>
          <w:sz w:val="32"/>
          <w:szCs w:val="32"/>
        </w:rPr>
        <w:t>。</w:t>
      </w:r>
    </w:p>
    <w:p>
      <w:pPr>
        <w:pStyle w:val="4"/>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76" w:lineRule="exact"/>
        <w:ind w:firstLine="643" w:firstLineChars="200"/>
        <w:textAlignment w:val="auto"/>
        <w:rPr>
          <w:rFonts w:hint="eastAsia" w:ascii="仿宋_GB2312" w:hAnsi="Verdana" w:eastAsia="仿宋_GB2312"/>
          <w:color w:val="auto"/>
          <w:sz w:val="32"/>
          <w:szCs w:val="32"/>
        </w:rPr>
      </w:pPr>
      <w:r>
        <w:rPr>
          <w:rFonts w:hint="eastAsia" w:ascii="楷体_GB2312" w:hAnsi="楷体_GB2312" w:eastAsia="楷体_GB2312" w:cs="楷体_GB2312"/>
          <w:b/>
          <w:bCs/>
          <w:color w:val="auto"/>
          <w:sz w:val="32"/>
          <w:szCs w:val="32"/>
          <w:lang w:eastAsia="zh-CN"/>
        </w:rPr>
        <w:t>（二）</w:t>
      </w:r>
      <w:r>
        <w:rPr>
          <w:rFonts w:hint="eastAsia" w:ascii="楷体_GB2312" w:hAnsi="楷体_GB2312" w:eastAsia="楷体_GB2312" w:cs="楷体_GB2312"/>
          <w:b/>
          <w:bCs/>
          <w:color w:val="auto"/>
          <w:sz w:val="32"/>
          <w:szCs w:val="32"/>
        </w:rPr>
        <w:t>新闻媒体发布相关信息</w:t>
      </w:r>
      <w:r>
        <w:rPr>
          <w:rFonts w:hint="eastAsia" w:ascii="楷体_GB2312" w:hAnsi="楷体_GB2312" w:eastAsia="楷体_GB2312" w:cs="楷体_GB2312"/>
          <w:b/>
          <w:bCs/>
          <w:color w:val="auto"/>
          <w:sz w:val="32"/>
          <w:szCs w:val="32"/>
          <w:lang w:eastAsia="zh-CN"/>
        </w:rPr>
        <w:t>。</w:t>
      </w:r>
      <w:r>
        <w:rPr>
          <w:rFonts w:hint="eastAsia" w:ascii="仿宋_GB2312" w:hAnsi="Verdana" w:eastAsia="仿宋_GB2312"/>
          <w:color w:val="auto"/>
          <w:sz w:val="32"/>
          <w:szCs w:val="32"/>
          <w:lang w:val="en-US" w:eastAsia="zh-CN"/>
        </w:rPr>
        <w:t>2019</w:t>
      </w:r>
      <w:r>
        <w:rPr>
          <w:rFonts w:hint="eastAsia" w:ascii="仿宋_GB2312" w:hAnsi="Verdana" w:eastAsia="仿宋_GB2312"/>
          <w:color w:val="auto"/>
          <w:sz w:val="32"/>
          <w:szCs w:val="32"/>
        </w:rPr>
        <w:t>年，</w:t>
      </w:r>
      <w:r>
        <w:rPr>
          <w:rFonts w:hint="eastAsia" w:ascii="仿宋_GB2312" w:hAnsi="Verdana" w:eastAsia="仿宋_GB2312"/>
          <w:color w:val="auto"/>
          <w:sz w:val="32"/>
          <w:szCs w:val="32"/>
          <w:lang w:eastAsia="zh-CN"/>
        </w:rPr>
        <w:t>在淄博市博山区应急管理局微信公众号上发表</w:t>
      </w:r>
      <w:r>
        <w:rPr>
          <w:rFonts w:hint="eastAsia" w:ascii="仿宋_GB2312" w:hAnsi="Verdana" w:eastAsia="仿宋_GB2312"/>
          <w:color w:val="auto"/>
          <w:sz w:val="32"/>
          <w:szCs w:val="32"/>
          <w:lang w:val="en-US" w:eastAsia="zh-CN"/>
        </w:rPr>
        <w:t>28条公开信息，并向区委办信息科、区政府办信息科、市局宣传科上报有关信息稿件。</w:t>
      </w:r>
    </w:p>
    <w:p>
      <w:pPr>
        <w:rPr>
          <w:rFonts w:hint="eastAsia" w:ascii="仿宋_GB2312" w:hAnsi="Verdana" w:eastAsia="仿宋_GB2312"/>
          <w:color w:val="auto"/>
          <w:sz w:val="32"/>
          <w:szCs w:val="32"/>
          <w:lang w:val="en-US" w:eastAsia="zh-CN"/>
        </w:rPr>
      </w:pPr>
      <w:r>
        <w:rPr>
          <w:rFonts w:hint="eastAsia" w:ascii="仿宋_GB2312" w:hAnsi="Verdana" w:eastAsia="仿宋_GB2312"/>
          <w:color w:val="auto"/>
          <w:sz w:val="32"/>
          <w:szCs w:val="32"/>
          <w:lang w:val="en-US" w:eastAsia="zh-CN"/>
        </w:rPr>
        <w:br w:type="page"/>
      </w:r>
    </w:p>
    <w:p>
      <w:pPr>
        <w:pStyle w:val="4"/>
        <w:numPr>
          <w:ilvl w:val="0"/>
          <w:numId w:val="1"/>
        </w:numPr>
        <w:shd w:val="clear" w:color="auto" w:fill="FFFFFF"/>
        <w:spacing w:before="0" w:beforeAutospacing="0" w:after="0" w:afterAutospacing="0"/>
        <w:ind w:right="800" w:firstLine="48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主动公开政府信息情况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7"/>
        <w:gridCol w:w="2263"/>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信息内容</w:t>
            </w:r>
          </w:p>
        </w:tc>
        <w:tc>
          <w:tcPr>
            <w:tcW w:w="2267"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本年新制作数量</w:t>
            </w:r>
          </w:p>
        </w:tc>
        <w:tc>
          <w:tcPr>
            <w:tcW w:w="226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本年新公开数量</w:t>
            </w:r>
          </w:p>
        </w:tc>
        <w:tc>
          <w:tcPr>
            <w:tcW w:w="2266"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对外公开总数量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规章</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规范性文件</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2</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1</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rPr>
              <w:t>第二十条第（</w:t>
            </w:r>
            <w:r>
              <w:rPr>
                <w:rFonts w:hint="eastAsia" w:ascii="仿宋" w:hAnsi="仿宋" w:eastAsia="仿宋" w:cs="仿宋"/>
                <w:b w:val="0"/>
                <w:bCs w:val="0"/>
                <w:color w:val="auto"/>
                <w:sz w:val="28"/>
                <w:szCs w:val="36"/>
                <w:lang w:eastAsia="zh-CN"/>
              </w:rPr>
              <w:t>五</w:t>
            </w:r>
            <w:r>
              <w:rPr>
                <w:rFonts w:hint="eastAsia" w:ascii="仿宋" w:hAnsi="仿宋" w:eastAsia="仿宋" w:cs="仿宋"/>
                <w:b w:val="0"/>
                <w:bCs w:val="0"/>
                <w:color w:val="auto"/>
                <w:sz w:val="28"/>
                <w:szCs w:val="36"/>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信息内容</w:t>
            </w:r>
          </w:p>
        </w:tc>
        <w:tc>
          <w:tcPr>
            <w:tcW w:w="2267"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上一年项目数量</w:t>
            </w:r>
          </w:p>
        </w:tc>
        <w:tc>
          <w:tcPr>
            <w:tcW w:w="2263"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本年增/减</w:t>
            </w:r>
          </w:p>
        </w:tc>
        <w:tc>
          <w:tcPr>
            <w:tcW w:w="2266"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行政许可</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1</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增2</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其他对外管理服务事项</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rPr>
              <w:t>第二十条第（</w:t>
            </w:r>
            <w:r>
              <w:rPr>
                <w:rFonts w:hint="eastAsia" w:ascii="仿宋" w:hAnsi="仿宋" w:eastAsia="仿宋" w:cs="仿宋"/>
                <w:b w:val="0"/>
                <w:bCs w:val="0"/>
                <w:color w:val="auto"/>
                <w:sz w:val="28"/>
                <w:szCs w:val="36"/>
                <w:lang w:eastAsia="zh-CN"/>
              </w:rPr>
              <w:t>六</w:t>
            </w:r>
            <w:r>
              <w:rPr>
                <w:rFonts w:hint="eastAsia" w:ascii="仿宋" w:hAnsi="仿宋" w:eastAsia="仿宋" w:cs="仿宋"/>
                <w:b w:val="0"/>
                <w:bCs w:val="0"/>
                <w:color w:val="auto"/>
                <w:sz w:val="28"/>
                <w:szCs w:val="36"/>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信息内容</w:t>
            </w:r>
          </w:p>
        </w:tc>
        <w:tc>
          <w:tcPr>
            <w:tcW w:w="2267"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上一年项目数量</w:t>
            </w:r>
          </w:p>
        </w:tc>
        <w:tc>
          <w:tcPr>
            <w:tcW w:w="2263"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本年增/减</w:t>
            </w:r>
          </w:p>
        </w:tc>
        <w:tc>
          <w:tcPr>
            <w:tcW w:w="2266"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行政处罚</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5</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增190</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195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行政强制</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3"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2266"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rPr>
              <w:t>第二十条第（</w:t>
            </w:r>
            <w:r>
              <w:rPr>
                <w:rFonts w:hint="eastAsia" w:ascii="仿宋" w:hAnsi="仿宋" w:eastAsia="仿宋" w:cs="仿宋"/>
                <w:b w:val="0"/>
                <w:bCs w:val="0"/>
                <w:color w:val="auto"/>
                <w:sz w:val="28"/>
                <w:szCs w:val="36"/>
                <w:lang w:eastAsia="zh-CN"/>
              </w:rPr>
              <w:t>八</w:t>
            </w:r>
            <w:r>
              <w:rPr>
                <w:rFonts w:hint="eastAsia" w:ascii="仿宋" w:hAnsi="仿宋" w:eastAsia="仿宋" w:cs="仿宋"/>
                <w:b w:val="0"/>
                <w:bCs w:val="0"/>
                <w:color w:val="auto"/>
                <w:sz w:val="28"/>
                <w:szCs w:val="36"/>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信息内容</w:t>
            </w:r>
          </w:p>
        </w:tc>
        <w:tc>
          <w:tcPr>
            <w:tcW w:w="2267"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上一年项目数量</w:t>
            </w:r>
          </w:p>
        </w:tc>
        <w:tc>
          <w:tcPr>
            <w:tcW w:w="4529" w:type="dxa"/>
            <w:gridSpan w:val="2"/>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行政事业性收费</w:t>
            </w:r>
          </w:p>
        </w:tc>
        <w:tc>
          <w:tcPr>
            <w:tcW w:w="2267" w:type="dxa"/>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c>
          <w:tcPr>
            <w:tcW w:w="4529" w:type="dxa"/>
            <w:gridSpan w:val="2"/>
            <w:vAlign w:val="center"/>
          </w:tcPr>
          <w:p>
            <w:pPr>
              <w:jc w:val="center"/>
              <w:rPr>
                <w:rFonts w:hint="default"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4"/>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rPr>
              <w:t>第二十条第（</w:t>
            </w:r>
            <w:r>
              <w:rPr>
                <w:rFonts w:hint="eastAsia" w:ascii="仿宋" w:hAnsi="仿宋" w:eastAsia="仿宋" w:cs="仿宋"/>
                <w:b w:val="0"/>
                <w:bCs w:val="0"/>
                <w:color w:val="auto"/>
                <w:sz w:val="28"/>
                <w:szCs w:val="36"/>
                <w:lang w:eastAsia="zh-CN"/>
              </w:rPr>
              <w:t>九</w:t>
            </w:r>
            <w:r>
              <w:rPr>
                <w:rFonts w:hint="eastAsia" w:ascii="仿宋" w:hAnsi="仿宋" w:eastAsia="仿宋" w:cs="仿宋"/>
                <w:b w:val="0"/>
                <w:bCs w:val="0"/>
                <w:color w:val="auto"/>
                <w:sz w:val="28"/>
                <w:szCs w:val="36"/>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信息内容</w:t>
            </w:r>
          </w:p>
        </w:tc>
        <w:tc>
          <w:tcPr>
            <w:tcW w:w="2267" w:type="dxa"/>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采购项目数量</w:t>
            </w:r>
          </w:p>
        </w:tc>
        <w:tc>
          <w:tcPr>
            <w:tcW w:w="4529" w:type="dxa"/>
            <w:gridSpan w:val="2"/>
            <w:vAlign w:val="center"/>
          </w:tcPr>
          <w:p>
            <w:pPr>
              <w:jc w:val="center"/>
              <w:rPr>
                <w:rFonts w:hint="eastAsia" w:ascii="仿宋" w:hAnsi="仿宋" w:eastAsia="仿宋" w:cs="仿宋"/>
                <w:b w:val="0"/>
                <w:bCs w:val="0"/>
                <w:color w:val="auto"/>
                <w:kern w:val="2"/>
                <w:sz w:val="28"/>
                <w:szCs w:val="36"/>
                <w:lang w:val="en-US" w:eastAsia="zh-CN" w:bidi="ar-SA"/>
              </w:rPr>
            </w:pPr>
            <w:r>
              <w:rPr>
                <w:rFonts w:hint="eastAsia" w:ascii="仿宋" w:hAnsi="仿宋" w:eastAsia="仿宋" w:cs="仿宋"/>
                <w:b w:val="0"/>
                <w:bCs w:val="0"/>
                <w:color w:val="auto"/>
                <w:sz w:val="28"/>
                <w:szCs w:val="36"/>
                <w:lang w:val="en-US" w:eastAsia="zh-CN"/>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vAlign w:val="center"/>
          </w:tcPr>
          <w:p>
            <w:pPr>
              <w:jc w:val="center"/>
              <w:rPr>
                <w:rFonts w:hint="eastAsia" w:ascii="仿宋" w:hAnsi="仿宋" w:eastAsia="仿宋" w:cs="仿宋"/>
                <w:b w:val="0"/>
                <w:bCs w:val="0"/>
                <w:color w:val="auto"/>
                <w:sz w:val="28"/>
                <w:szCs w:val="36"/>
                <w:lang w:eastAsia="zh-CN"/>
              </w:rPr>
            </w:pPr>
            <w:r>
              <w:rPr>
                <w:rFonts w:hint="eastAsia" w:ascii="仿宋" w:hAnsi="仿宋" w:eastAsia="仿宋" w:cs="仿宋"/>
                <w:b w:val="0"/>
                <w:bCs w:val="0"/>
                <w:color w:val="auto"/>
                <w:sz w:val="28"/>
                <w:szCs w:val="36"/>
                <w:lang w:eastAsia="zh-CN"/>
              </w:rPr>
              <w:t>政府集中采购</w:t>
            </w:r>
          </w:p>
        </w:tc>
        <w:tc>
          <w:tcPr>
            <w:tcW w:w="2267" w:type="dxa"/>
            <w:vAlign w:val="center"/>
          </w:tcPr>
          <w:p>
            <w:pPr>
              <w:jc w:val="center"/>
              <w:rPr>
                <w:rFonts w:hint="eastAsia" w:ascii="仿宋" w:hAnsi="仿宋" w:eastAsia="仿宋" w:cs="仿宋"/>
                <w:b w:val="0"/>
                <w:bCs w:val="0"/>
                <w:color w:val="auto"/>
                <w:sz w:val="28"/>
                <w:szCs w:val="36"/>
                <w:lang w:val="en-US" w:eastAsia="zh-CN"/>
              </w:rPr>
            </w:pPr>
            <w:r>
              <w:rPr>
                <w:rFonts w:hint="eastAsia" w:ascii="仿宋" w:hAnsi="仿宋" w:eastAsia="仿宋" w:cs="仿宋"/>
                <w:b w:val="0"/>
                <w:bCs w:val="0"/>
                <w:color w:val="auto"/>
                <w:sz w:val="28"/>
                <w:szCs w:val="36"/>
                <w:lang w:val="en-US" w:eastAsia="zh-CN"/>
              </w:rPr>
              <w:t>1</w:t>
            </w:r>
          </w:p>
        </w:tc>
        <w:tc>
          <w:tcPr>
            <w:tcW w:w="4529" w:type="dxa"/>
            <w:gridSpan w:val="2"/>
            <w:vAlign w:val="center"/>
          </w:tcPr>
          <w:p>
            <w:pPr>
              <w:jc w:val="center"/>
              <w:rPr>
                <w:rFonts w:hint="eastAsia" w:ascii="仿宋" w:hAnsi="仿宋" w:eastAsia="仿宋" w:cs="仿宋"/>
                <w:b w:val="0"/>
                <w:bCs w:val="0"/>
                <w:color w:val="auto"/>
                <w:sz w:val="28"/>
                <w:szCs w:val="36"/>
              </w:rPr>
            </w:pPr>
            <w:r>
              <w:rPr>
                <w:rFonts w:hint="eastAsia" w:ascii="仿宋" w:hAnsi="仿宋" w:eastAsia="仿宋" w:cs="仿宋"/>
                <w:b w:val="0"/>
                <w:bCs w:val="0"/>
                <w:color w:val="auto"/>
                <w:sz w:val="28"/>
                <w:szCs w:val="36"/>
              </w:rPr>
              <w:t>662800</w:t>
            </w:r>
          </w:p>
        </w:tc>
      </w:tr>
    </w:tbl>
    <w:p>
      <w:pPr>
        <w:pStyle w:val="4"/>
        <w:numPr>
          <w:ilvl w:val="0"/>
          <w:numId w:val="1"/>
        </w:numPr>
        <w:shd w:val="clear" w:color="auto" w:fill="FFFFFF"/>
        <w:spacing w:before="0" w:beforeAutospacing="0" w:after="0" w:afterAutospacing="0"/>
        <w:ind w:left="0" w:leftChars="0" w:right="800" w:rightChars="0" w:firstLine="480" w:firstLineChars="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收到和处理政府信息公开申请情况</w:t>
      </w:r>
    </w:p>
    <w:tbl>
      <w:tblPr>
        <w:tblStyle w:val="6"/>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7"/>
        <w:gridCol w:w="1590"/>
        <w:gridCol w:w="2640"/>
        <w:gridCol w:w="869"/>
        <w:gridCol w:w="582"/>
        <w:gridCol w:w="582"/>
        <w:gridCol w:w="582"/>
        <w:gridCol w:w="582"/>
        <w:gridCol w:w="583"/>
        <w:gridCol w:w="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7" w:type="dxa"/>
            <w:gridSpan w:val="3"/>
            <w:vMerge w:val="restart"/>
          </w:tcPr>
          <w:p>
            <w:pPr>
              <w:pStyle w:val="4"/>
              <w:numPr>
                <w:ilvl w:val="0"/>
                <w:numId w:val="0"/>
              </w:numPr>
              <w:spacing w:before="0" w:beforeAutospacing="0" w:after="0" w:afterAutospacing="0"/>
              <w:ind w:right="38"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（本数据的勾稽关系为：第一项加第二项之和，等于第三项加第四项之和）</w:t>
            </w:r>
          </w:p>
        </w:tc>
        <w:tc>
          <w:tcPr>
            <w:tcW w:w="4294" w:type="dxa"/>
            <w:gridSpan w:val="7"/>
          </w:tcPr>
          <w:p>
            <w:pPr>
              <w:pStyle w:val="4"/>
              <w:numPr>
                <w:ilvl w:val="0"/>
                <w:numId w:val="0"/>
              </w:numPr>
              <w:spacing w:before="0" w:beforeAutospacing="0" w:after="0" w:afterAutospacing="0"/>
              <w:ind w:right="38"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7" w:type="dxa"/>
            <w:gridSpan w:val="3"/>
            <w:vMerge w:val="continue"/>
          </w:tcPr>
          <w:p>
            <w:pPr>
              <w:pStyle w:val="4"/>
              <w:numPr>
                <w:ilvl w:val="0"/>
                <w:numId w:val="0"/>
              </w:numPr>
              <w:spacing w:before="0" w:beforeAutospacing="0" w:after="0" w:afterAutospacing="0"/>
              <w:ind w:right="800" w:rightChars="0"/>
              <w:jc w:val="both"/>
              <w:rPr>
                <w:rFonts w:hint="eastAsia" w:ascii="楷体_GB2312" w:hAnsi="楷体_GB2312" w:eastAsia="楷体_GB2312" w:cs="楷体_GB2312"/>
                <w:color w:val="auto"/>
                <w:sz w:val="21"/>
                <w:szCs w:val="21"/>
                <w:lang w:val="en-US" w:eastAsia="zh-CN"/>
              </w:rPr>
            </w:pPr>
          </w:p>
        </w:tc>
        <w:tc>
          <w:tcPr>
            <w:tcW w:w="869" w:type="dxa"/>
            <w:vMerge w:val="restart"/>
          </w:tcPr>
          <w:p>
            <w:pPr>
              <w:pStyle w:val="4"/>
              <w:numPr>
                <w:ilvl w:val="0"/>
                <w:numId w:val="0"/>
              </w:numPr>
              <w:tabs>
                <w:tab w:val="left" w:pos="420"/>
              </w:tabs>
              <w:spacing w:before="0" w:beforeAutospacing="0" w:after="0" w:afterAutospacing="0"/>
              <w:ind w:right="-76"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自然人</w:t>
            </w:r>
          </w:p>
        </w:tc>
        <w:tc>
          <w:tcPr>
            <w:tcW w:w="2911" w:type="dxa"/>
            <w:gridSpan w:val="5"/>
          </w:tcPr>
          <w:p>
            <w:pPr>
              <w:pStyle w:val="4"/>
              <w:numPr>
                <w:ilvl w:val="0"/>
                <w:numId w:val="0"/>
              </w:numPr>
              <w:spacing w:before="0" w:beforeAutospacing="0" w:after="0" w:afterAutospacing="0"/>
              <w:ind w:right="38"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法人或其他组织</w:t>
            </w:r>
          </w:p>
        </w:tc>
        <w:tc>
          <w:tcPr>
            <w:tcW w:w="514" w:type="dxa"/>
            <w:vMerge w:val="restart"/>
          </w:tcPr>
          <w:p>
            <w:pPr>
              <w:pStyle w:val="4"/>
              <w:numPr>
                <w:ilvl w:val="0"/>
                <w:numId w:val="0"/>
              </w:numPr>
              <w:spacing w:before="0" w:beforeAutospacing="0" w:after="0" w:afterAutospacing="0"/>
              <w:ind w:right="-137"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67" w:type="dxa"/>
            <w:gridSpan w:val="3"/>
            <w:vMerge w:val="continue"/>
          </w:tcPr>
          <w:p>
            <w:pPr>
              <w:pStyle w:val="4"/>
              <w:numPr>
                <w:ilvl w:val="0"/>
                <w:numId w:val="0"/>
              </w:numPr>
              <w:spacing w:before="0" w:beforeAutospacing="0" w:after="0" w:afterAutospacing="0"/>
              <w:ind w:right="800" w:rightChars="0"/>
              <w:jc w:val="both"/>
              <w:rPr>
                <w:rFonts w:hint="eastAsia" w:ascii="楷体_GB2312" w:hAnsi="楷体_GB2312" w:eastAsia="楷体_GB2312" w:cs="楷体_GB2312"/>
                <w:color w:val="auto"/>
                <w:kern w:val="2"/>
                <w:sz w:val="21"/>
                <w:szCs w:val="21"/>
                <w:lang w:val="en-US" w:eastAsia="zh-CN" w:bidi="ar-SA"/>
              </w:rPr>
            </w:pPr>
          </w:p>
        </w:tc>
        <w:tc>
          <w:tcPr>
            <w:tcW w:w="869" w:type="dxa"/>
            <w:vMerge w:val="continue"/>
          </w:tcPr>
          <w:p>
            <w:pPr>
              <w:pStyle w:val="4"/>
              <w:numPr>
                <w:ilvl w:val="0"/>
                <w:numId w:val="0"/>
              </w:numPr>
              <w:spacing w:before="0" w:beforeAutospacing="0" w:after="0" w:afterAutospacing="0"/>
              <w:ind w:right="38" w:rightChars="0"/>
              <w:jc w:val="both"/>
              <w:rPr>
                <w:rFonts w:hint="eastAsia" w:ascii="楷体_GB2312" w:hAnsi="楷体_GB2312" w:eastAsia="楷体_GB2312" w:cs="楷体_GB2312"/>
                <w:color w:val="auto"/>
                <w:sz w:val="21"/>
                <w:szCs w:val="21"/>
                <w:lang w:val="en-US" w:eastAsia="zh-CN"/>
              </w:rPr>
            </w:pPr>
          </w:p>
        </w:tc>
        <w:tc>
          <w:tcPr>
            <w:tcW w:w="582" w:type="dxa"/>
            <w:vAlign w:val="top"/>
          </w:tcPr>
          <w:p>
            <w:pPr>
              <w:pStyle w:val="4"/>
              <w:numPr>
                <w:ilvl w:val="0"/>
                <w:numId w:val="0"/>
              </w:numPr>
              <w:spacing w:before="0" w:beforeAutospacing="0" w:after="0" w:afterAutospacing="0"/>
              <w:ind w:right="-119"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商业企业</w:t>
            </w:r>
          </w:p>
        </w:tc>
        <w:tc>
          <w:tcPr>
            <w:tcW w:w="582" w:type="dxa"/>
            <w:vAlign w:val="top"/>
          </w:tcPr>
          <w:p>
            <w:pPr>
              <w:pStyle w:val="4"/>
              <w:numPr>
                <w:ilvl w:val="0"/>
                <w:numId w:val="0"/>
              </w:numPr>
              <w:spacing w:before="0" w:beforeAutospacing="0" w:after="0" w:afterAutospacing="0"/>
              <w:ind w:right="-52"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科研机构</w:t>
            </w:r>
          </w:p>
        </w:tc>
        <w:tc>
          <w:tcPr>
            <w:tcW w:w="582" w:type="dxa"/>
            <w:vAlign w:val="top"/>
          </w:tcPr>
          <w:p>
            <w:pPr>
              <w:pStyle w:val="4"/>
              <w:numPr>
                <w:ilvl w:val="0"/>
                <w:numId w:val="0"/>
              </w:numPr>
              <w:spacing w:before="0" w:beforeAutospacing="0" w:after="0" w:afterAutospacing="0"/>
              <w:ind w:right="-54"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社会公益组织</w:t>
            </w:r>
          </w:p>
        </w:tc>
        <w:tc>
          <w:tcPr>
            <w:tcW w:w="582" w:type="dxa"/>
            <w:vAlign w:val="top"/>
          </w:tcPr>
          <w:p>
            <w:pPr>
              <w:pStyle w:val="4"/>
              <w:numPr>
                <w:ilvl w:val="0"/>
                <w:numId w:val="0"/>
              </w:numPr>
              <w:spacing w:before="0" w:beforeAutospacing="0" w:after="0" w:afterAutospacing="0"/>
              <w:ind w:right="-54"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法律服务机构</w:t>
            </w:r>
          </w:p>
        </w:tc>
        <w:tc>
          <w:tcPr>
            <w:tcW w:w="583" w:type="dxa"/>
            <w:vAlign w:val="top"/>
          </w:tcPr>
          <w:p>
            <w:pPr>
              <w:pStyle w:val="4"/>
              <w:numPr>
                <w:ilvl w:val="0"/>
                <w:numId w:val="0"/>
              </w:numPr>
              <w:spacing w:before="0" w:beforeAutospacing="0" w:after="0" w:afterAutospacing="0"/>
              <w:ind w:right="-46" w:right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其他</w:t>
            </w:r>
          </w:p>
        </w:tc>
        <w:tc>
          <w:tcPr>
            <w:tcW w:w="514" w:type="dxa"/>
            <w:vMerge w:val="continue"/>
          </w:tcPr>
          <w:p>
            <w:pPr>
              <w:pStyle w:val="4"/>
              <w:numPr>
                <w:ilvl w:val="0"/>
                <w:numId w:val="0"/>
              </w:numPr>
              <w:spacing w:before="0" w:beforeAutospacing="0" w:after="0" w:afterAutospacing="0"/>
              <w:ind w:right="38" w:rightChars="0"/>
              <w:jc w:val="both"/>
              <w:rPr>
                <w:rFonts w:hint="eastAsia" w:ascii="楷体_GB2312" w:hAnsi="楷体_GB2312" w:eastAsia="楷体_GB2312" w:cs="楷体_GB2312"/>
                <w:color w:val="auto"/>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7" w:type="dxa"/>
            <w:gridSpan w:val="3"/>
          </w:tcPr>
          <w:p>
            <w:pPr>
              <w:pStyle w:val="4"/>
              <w:numPr>
                <w:ilvl w:val="0"/>
                <w:numId w:val="0"/>
              </w:numPr>
              <w:spacing w:before="0" w:beforeAutospacing="0" w:after="0" w:afterAutospacing="0"/>
              <w:ind w:right="-162"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一、本年新收政府信息公开申请数量</w:t>
            </w:r>
          </w:p>
        </w:tc>
        <w:tc>
          <w:tcPr>
            <w:tcW w:w="869" w:type="dxa"/>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7" w:type="dxa"/>
            <w:gridSpan w:val="3"/>
          </w:tcPr>
          <w:p>
            <w:pPr>
              <w:pStyle w:val="4"/>
              <w:numPr>
                <w:ilvl w:val="0"/>
                <w:numId w:val="0"/>
              </w:numPr>
              <w:spacing w:before="0" w:beforeAutospacing="0" w:after="0" w:afterAutospacing="0"/>
              <w:ind w:right="-162"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二、上年结转政府信息公开申请数量</w:t>
            </w:r>
          </w:p>
        </w:tc>
        <w:tc>
          <w:tcPr>
            <w:tcW w:w="869" w:type="dxa"/>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tcPr>
          <w:p>
            <w:pPr>
              <w:pStyle w:val="4"/>
              <w:numPr>
                <w:ilvl w:val="0"/>
                <w:numId w:val="0"/>
              </w:numPr>
              <w:spacing w:before="0" w:beforeAutospacing="0" w:after="0" w:afterAutospacing="0"/>
              <w:ind w:right="38" w:rightChars="0"/>
              <w:jc w:val="center"/>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restart"/>
          </w:tcPr>
          <w:p>
            <w:pPr>
              <w:pStyle w:val="4"/>
              <w:numPr>
                <w:ilvl w:val="0"/>
                <w:numId w:val="0"/>
              </w:numPr>
              <w:spacing w:before="0" w:beforeAutospacing="0" w:after="0" w:afterAutospacing="0"/>
              <w:ind w:right="38"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三、本年度办理结果</w:t>
            </w:r>
          </w:p>
        </w:tc>
        <w:tc>
          <w:tcPr>
            <w:tcW w:w="4230" w:type="dxa"/>
            <w:gridSpan w:val="2"/>
          </w:tcPr>
          <w:p>
            <w:pPr>
              <w:pStyle w:val="4"/>
              <w:numPr>
                <w:ilvl w:val="0"/>
                <w:numId w:val="0"/>
              </w:numPr>
              <w:spacing w:before="0" w:beforeAutospacing="0" w:after="0" w:afterAutospacing="0"/>
              <w:ind w:right="-90"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（一）予以公开</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800" w:rightChars="0"/>
              <w:jc w:val="both"/>
              <w:rPr>
                <w:rFonts w:hint="eastAsia" w:ascii="楷体_GB2312" w:hAnsi="楷体_GB2312" w:eastAsia="楷体_GB2312" w:cs="楷体_GB2312"/>
                <w:color w:val="auto"/>
                <w:kern w:val="2"/>
                <w:sz w:val="21"/>
                <w:szCs w:val="21"/>
                <w:lang w:val="en-US" w:eastAsia="zh-CN" w:bidi="ar-SA"/>
              </w:rPr>
            </w:pPr>
          </w:p>
        </w:tc>
        <w:tc>
          <w:tcPr>
            <w:tcW w:w="4230" w:type="dxa"/>
            <w:gridSpan w:val="2"/>
          </w:tcPr>
          <w:p>
            <w:pPr>
              <w:pStyle w:val="4"/>
              <w:numPr>
                <w:ilvl w:val="0"/>
                <w:numId w:val="0"/>
              </w:numPr>
              <w:spacing w:before="0" w:beforeAutospacing="0" w:after="0" w:afterAutospacing="0"/>
              <w:ind w:right="-90" w:rightChars="0"/>
              <w:jc w:val="both"/>
              <w:rPr>
                <w:rFonts w:hint="eastAsia" w:ascii="楷体_GB2312" w:hAnsi="楷体_GB2312" w:eastAsia="楷体_GB2312" w:cs="楷体_GB2312"/>
                <w:color w:val="auto"/>
                <w:kern w:val="2"/>
                <w:sz w:val="21"/>
                <w:szCs w:val="21"/>
                <w:lang w:val="en-US" w:eastAsia="zh-CN" w:bidi="ar-SA"/>
              </w:rPr>
            </w:pPr>
            <w:r>
              <w:rPr>
                <w:rFonts w:hint="eastAsia" w:ascii="楷体_GB2312" w:hAnsi="楷体_GB2312" w:eastAsia="楷体_GB2312" w:cs="楷体_GB2312"/>
                <w:color w:val="auto"/>
                <w:sz w:val="21"/>
                <w:szCs w:val="21"/>
              </w:rPr>
              <w:t>（</w:t>
            </w:r>
            <w:r>
              <w:rPr>
                <w:rFonts w:hint="eastAsia" w:ascii="楷体_GB2312" w:hAnsi="楷体_GB2312" w:eastAsia="楷体_GB2312" w:cs="楷体_GB2312"/>
                <w:color w:val="auto"/>
                <w:sz w:val="21"/>
                <w:szCs w:val="21"/>
              </w:rPr>
              <w:t>二）部分公开（区分处理的，只计这一情形，不计其他情形）</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800" w:rightChars="0"/>
              <w:jc w:val="both"/>
              <w:rPr>
                <w:rFonts w:hint="eastAsia" w:ascii="楷体_GB2312" w:hAnsi="楷体_GB2312" w:eastAsia="楷体_GB2312" w:cs="楷体_GB2312"/>
                <w:color w:val="auto"/>
                <w:kern w:val="2"/>
                <w:sz w:val="21"/>
                <w:szCs w:val="21"/>
                <w:lang w:val="en-US" w:eastAsia="zh-CN" w:bidi="ar-SA"/>
              </w:rPr>
            </w:pPr>
          </w:p>
        </w:tc>
        <w:tc>
          <w:tcPr>
            <w:tcW w:w="1590" w:type="dxa"/>
            <w:vMerge w:val="restart"/>
          </w:tcPr>
          <w:p>
            <w:pPr>
              <w:pStyle w:val="4"/>
              <w:numPr>
                <w:ilvl w:val="0"/>
                <w:numId w:val="0"/>
              </w:numPr>
              <w:spacing w:before="0" w:beforeAutospacing="0" w:after="0" w:afterAutospacing="0"/>
              <w:ind w:left="0" w:leftChars="0" w:right="-21" w:rightChars="0" w:firstLine="0" w:firstLine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（三）不予公开</w:t>
            </w: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1.属于国家机密</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2.其他法律行政法规禁止公开</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3.危及“三安全一稳定”</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4.保护第三方合法权益</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5.属于三类内部事务信息</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6.属于四类过程性信息</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7.属于行政执法案卷</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8.属于行政查询事项</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restart"/>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（四）无法提供</w:t>
            </w:r>
          </w:p>
        </w:tc>
        <w:tc>
          <w:tcPr>
            <w:tcW w:w="2640" w:type="dxa"/>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1.本机关不掌握相关政府信息</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2.没有现成信息需要另行制作</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3.补正后申请内容仍不明确</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restart"/>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（四）不予处理</w:t>
            </w: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1.信访举报投诉类申请</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2.重复申请</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3.要求提供公开出版物</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4.无正当理由大量反复申请</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1590"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2640" w:type="dxa"/>
          </w:tcPr>
          <w:p>
            <w:pPr>
              <w:pStyle w:val="4"/>
              <w:numPr>
                <w:ilvl w:val="0"/>
                <w:numId w:val="0"/>
              </w:numPr>
              <w:spacing w:before="0" w:beforeAutospacing="0" w:after="0" w:afterAutospacing="0"/>
              <w:ind w:right="-129" w:rightChars="0"/>
              <w:jc w:val="both"/>
              <w:rPr>
                <w:rFonts w:hint="default"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5.要求行政机关确认或重新出具已获取信息</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4230" w:type="dxa"/>
            <w:gridSpan w:val="2"/>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（六）其他处理</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7" w:type="dxa"/>
            <w:vMerge w:val="continue"/>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p>
        </w:tc>
        <w:tc>
          <w:tcPr>
            <w:tcW w:w="4230" w:type="dxa"/>
            <w:gridSpan w:val="2"/>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（七）总计</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67" w:type="dxa"/>
            <w:gridSpan w:val="3"/>
          </w:tcPr>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四、结转下年度继续办理</w:t>
            </w:r>
          </w:p>
        </w:tc>
        <w:tc>
          <w:tcPr>
            <w:tcW w:w="869"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2"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83"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c>
          <w:tcPr>
            <w:tcW w:w="514" w:type="dxa"/>
            <w:vAlign w:val="top"/>
          </w:tcPr>
          <w:p>
            <w:pPr>
              <w:pStyle w:val="4"/>
              <w:numPr>
                <w:ilvl w:val="0"/>
                <w:numId w:val="0"/>
              </w:numPr>
              <w:spacing w:before="0" w:beforeAutospacing="0" w:after="0" w:afterAutospacing="0"/>
              <w:ind w:left="0" w:leftChars="0" w:right="38" w:rightChars="0" w:firstLine="0" w:firstLineChars="0"/>
              <w:jc w:val="center"/>
              <w:rPr>
                <w:rFonts w:hint="eastAsia" w:ascii="楷体_GB2312" w:hAnsi="楷体_GB2312" w:eastAsia="楷体_GB2312" w:cs="楷体_GB2312"/>
                <w:color w:val="auto"/>
                <w:sz w:val="21"/>
                <w:szCs w:val="21"/>
                <w:lang w:val="en-US" w:eastAsia="zh-CN"/>
              </w:rPr>
            </w:pPr>
            <w:r>
              <w:rPr>
                <w:rFonts w:hint="eastAsia" w:ascii="楷体_GB2312" w:hAnsi="楷体_GB2312" w:eastAsia="楷体_GB2312" w:cs="楷体_GB2312"/>
                <w:color w:val="auto"/>
                <w:sz w:val="21"/>
                <w:szCs w:val="21"/>
                <w:lang w:val="en-US" w:eastAsia="zh-CN"/>
              </w:rPr>
              <w:t>0</w:t>
            </w:r>
          </w:p>
        </w:tc>
      </w:tr>
    </w:tbl>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18"/>
          <w:szCs w:val="18"/>
          <w:lang w:val="en-US" w:eastAsia="zh-CN"/>
        </w:rPr>
      </w:pPr>
    </w:p>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18"/>
          <w:szCs w:val="18"/>
          <w:lang w:val="en-US" w:eastAsia="zh-CN"/>
        </w:rPr>
      </w:pPr>
    </w:p>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18"/>
          <w:szCs w:val="18"/>
          <w:lang w:val="en-US" w:eastAsia="zh-CN"/>
        </w:rPr>
      </w:pPr>
    </w:p>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18"/>
          <w:szCs w:val="18"/>
          <w:lang w:val="en-US" w:eastAsia="zh-CN"/>
        </w:rPr>
      </w:pPr>
    </w:p>
    <w:p>
      <w:pPr>
        <w:pStyle w:val="4"/>
        <w:numPr>
          <w:ilvl w:val="0"/>
          <w:numId w:val="0"/>
        </w:numPr>
        <w:spacing w:before="0" w:beforeAutospacing="0" w:after="0" w:afterAutospacing="0"/>
        <w:ind w:right="-129" w:rightChars="0"/>
        <w:jc w:val="both"/>
        <w:rPr>
          <w:rFonts w:hint="eastAsia" w:ascii="楷体_GB2312" w:hAnsi="楷体_GB2312" w:eastAsia="楷体_GB2312" w:cs="楷体_GB2312"/>
          <w:color w:val="auto"/>
          <w:sz w:val="18"/>
          <w:szCs w:val="18"/>
          <w:lang w:val="en-US" w:eastAsia="zh-CN"/>
        </w:rPr>
      </w:pPr>
    </w:p>
    <w:p>
      <w:pPr>
        <w:pStyle w:val="4"/>
        <w:numPr>
          <w:ilvl w:val="0"/>
          <w:numId w:val="1"/>
        </w:numPr>
        <w:spacing w:before="0" w:beforeAutospacing="0" w:after="0" w:afterAutospacing="0"/>
        <w:ind w:left="0" w:leftChars="0" w:right="-129" w:rightChars="0" w:firstLine="480" w:firstLineChars="0"/>
        <w:jc w:val="both"/>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政府信息公开行政复议、行政诉讼情况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604"/>
        <w:gridCol w:w="604"/>
        <w:gridCol w:w="604"/>
        <w:gridCol w:w="604"/>
        <w:gridCol w:w="604"/>
        <w:gridCol w:w="604"/>
        <w:gridCol w:w="604"/>
        <w:gridCol w:w="604"/>
        <w:gridCol w:w="604"/>
        <w:gridCol w:w="604"/>
        <w:gridCol w:w="604"/>
        <w:gridCol w:w="604"/>
        <w:gridCol w:w="604"/>
        <w:gridCol w:w="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gridSpan w:val="5"/>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行政复议</w:t>
            </w:r>
          </w:p>
        </w:tc>
        <w:tc>
          <w:tcPr>
            <w:tcW w:w="6041" w:type="dxa"/>
            <w:gridSpan w:val="10"/>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Merge w:val="restart"/>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结果维持</w:t>
            </w:r>
          </w:p>
        </w:tc>
        <w:tc>
          <w:tcPr>
            <w:tcW w:w="604" w:type="dxa"/>
            <w:vMerge w:val="restart"/>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结果纠正</w:t>
            </w:r>
          </w:p>
        </w:tc>
        <w:tc>
          <w:tcPr>
            <w:tcW w:w="604" w:type="dxa"/>
            <w:vMerge w:val="restart"/>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其他结果</w:t>
            </w:r>
          </w:p>
        </w:tc>
        <w:tc>
          <w:tcPr>
            <w:tcW w:w="604" w:type="dxa"/>
            <w:vMerge w:val="restart"/>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尚未审结</w:t>
            </w:r>
          </w:p>
        </w:tc>
        <w:tc>
          <w:tcPr>
            <w:tcW w:w="604" w:type="dxa"/>
            <w:vMerge w:val="restart"/>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总计</w:t>
            </w:r>
          </w:p>
        </w:tc>
        <w:tc>
          <w:tcPr>
            <w:tcW w:w="3020" w:type="dxa"/>
            <w:gridSpan w:val="5"/>
          </w:tcPr>
          <w:p>
            <w:pPr>
              <w:pStyle w:val="4"/>
              <w:keepNext w:val="0"/>
              <w:keepLines w:val="0"/>
              <w:pageBreakBefore w:val="0"/>
              <w:widowControl/>
              <w:numPr>
                <w:ilvl w:val="0"/>
                <w:numId w:val="0"/>
              </w:numPr>
              <w:tabs>
                <w:tab w:val="left" w:pos="554"/>
              </w:tabs>
              <w:kinsoku/>
              <w:wordWrap/>
              <w:overflowPunct/>
              <w:topLinePunct w:val="0"/>
              <w:autoSpaceDE/>
              <w:autoSpaceDN/>
              <w:bidi w:val="0"/>
              <w:adjustRightInd/>
              <w:snapToGrid/>
              <w:spacing w:before="0" w:beforeAutospacing="0" w:after="0" w:afterAutospacing="0" w:line="360" w:lineRule="exact"/>
              <w:ind w:right="-130" w:rightChars="0"/>
              <w:jc w:val="left"/>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ab/>
              <w:t>未经复议直接起诉</w:t>
            </w:r>
          </w:p>
        </w:tc>
        <w:tc>
          <w:tcPr>
            <w:tcW w:w="3021" w:type="dxa"/>
            <w:gridSpan w:val="5"/>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Merge w:val="continue"/>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p>
        </w:tc>
        <w:tc>
          <w:tcPr>
            <w:tcW w:w="604" w:type="dxa"/>
            <w:vMerge w:val="continue"/>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p>
        </w:tc>
        <w:tc>
          <w:tcPr>
            <w:tcW w:w="604" w:type="dxa"/>
            <w:vMerge w:val="continue"/>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p>
        </w:tc>
        <w:tc>
          <w:tcPr>
            <w:tcW w:w="604" w:type="dxa"/>
            <w:vMerge w:val="continue"/>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p>
        </w:tc>
        <w:tc>
          <w:tcPr>
            <w:tcW w:w="604" w:type="dxa"/>
            <w:vMerge w:val="continue"/>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eastAsia" w:ascii="仿宋_GB2312" w:hAnsi="仿宋_GB2312" w:eastAsia="仿宋_GB2312" w:cs="仿宋_GB2312"/>
                <w:color w:val="auto"/>
                <w:sz w:val="24"/>
                <w:szCs w:val="24"/>
                <w:vertAlign w:val="baseline"/>
                <w:lang w:val="en-US" w:eastAsia="zh-CN"/>
              </w:rPr>
            </w:pP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结果维持</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结果纠正</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其他结果</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尚未审结</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总计</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结果维持</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结果纠正</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其他结果</w:t>
            </w:r>
          </w:p>
        </w:tc>
        <w:tc>
          <w:tcPr>
            <w:tcW w:w="604"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尚未审结</w:t>
            </w:r>
          </w:p>
        </w:tc>
        <w:tc>
          <w:tcPr>
            <w:tcW w:w="605" w:type="dxa"/>
            <w:vAlign w:val="top"/>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left="0" w:leftChars="0" w:right="-130" w:rightChars="0" w:firstLine="0" w:firstLineChars="0"/>
              <w:jc w:val="center"/>
              <w:textAlignment w:val="auto"/>
              <w:rPr>
                <w:rFonts w:hint="eastAsia" w:ascii="仿宋_GB2312" w:hAnsi="仿宋_GB2312" w:eastAsia="仿宋_GB2312" w:cs="仿宋_GB2312"/>
                <w:color w:val="auto"/>
                <w:kern w:val="0"/>
                <w:sz w:val="24"/>
                <w:szCs w:val="24"/>
                <w:vertAlign w:val="baseline"/>
                <w:lang w:val="en-US" w:eastAsia="zh-CN" w:bidi="ar-SA"/>
              </w:rPr>
            </w:pPr>
            <w:r>
              <w:rPr>
                <w:rFonts w:hint="eastAsia" w:ascii="仿宋_GB2312" w:hAnsi="仿宋_GB2312" w:eastAsia="仿宋_GB2312" w:cs="仿宋_GB2312"/>
                <w:color w:val="auto"/>
                <w:sz w:val="24"/>
                <w:szCs w:val="24"/>
                <w:vertAlign w:val="baseline"/>
                <w:lang w:val="en-US" w:eastAsia="zh-CN"/>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4"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c>
          <w:tcPr>
            <w:tcW w:w="605" w:type="dxa"/>
          </w:tcPr>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exact"/>
              <w:ind w:right="-130" w:rightChars="0"/>
              <w:jc w:val="center"/>
              <w:textAlignment w:val="auto"/>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0</w:t>
            </w:r>
          </w:p>
        </w:tc>
      </w:tr>
    </w:tbl>
    <w:p>
      <w:pPr>
        <w:pStyle w:val="4"/>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76" w:lineRule="exact"/>
        <w:ind w:left="0" w:leftChars="0" w:right="-129" w:rightChars="0" w:firstLine="480" w:firstLine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存在的主要问题及改进情况</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right="800" w:firstLine="480"/>
        <w:jc w:val="both"/>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（一）存在的问题</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6" w:lineRule="exact"/>
        <w:ind w:right="25" w:rightChars="0" w:firstLine="640" w:firstLineChars="200"/>
        <w:jc w:val="both"/>
        <w:textAlignment w:val="auto"/>
        <w:rPr>
          <w:rFonts w:hint="eastAsia" w:ascii="仿宋" w:hAnsi="仿宋" w:eastAsia="仿宋" w:cs="仿宋"/>
          <w:b w:val="0"/>
          <w:bCs w:val="0"/>
          <w:color w:val="auto"/>
          <w:sz w:val="32"/>
          <w:szCs w:val="32"/>
          <w:lang w:val="en-US" w:eastAsia="zh-CN"/>
        </w:rPr>
      </w:pPr>
      <w:r>
        <w:rPr>
          <w:rFonts w:hint="eastAsia" w:ascii="仿宋_GB2312" w:hAnsi="Verdana" w:eastAsia="仿宋_GB2312"/>
          <w:color w:val="auto"/>
          <w:sz w:val="32"/>
          <w:szCs w:val="32"/>
          <w:lang w:val="en-US" w:eastAsia="zh-CN"/>
        </w:rPr>
        <w:t>2019年度，我局虽然在政府信息公开上取得了一定效果，但依然存在着一些问题：</w:t>
      </w:r>
      <w:r>
        <w:rPr>
          <w:rFonts w:hint="eastAsia" w:ascii="仿宋_GB2312" w:hAnsi="Verdana" w:eastAsia="仿宋_GB2312"/>
          <w:b/>
          <w:bCs/>
          <w:color w:val="auto"/>
          <w:sz w:val="32"/>
          <w:szCs w:val="32"/>
          <w:lang w:val="en-US" w:eastAsia="zh-CN"/>
        </w:rPr>
        <w:t>一是政府公开信息效率不高，</w:t>
      </w:r>
      <w:r>
        <w:rPr>
          <w:rFonts w:hint="eastAsia" w:ascii="仿宋_GB2312" w:hAnsi="Verdana" w:eastAsia="仿宋_GB2312"/>
          <w:color w:val="auto"/>
          <w:sz w:val="32"/>
          <w:szCs w:val="32"/>
          <w:lang w:val="en-US" w:eastAsia="zh-CN"/>
        </w:rPr>
        <w:t>由办公室牵头负责政府信息公开工作，和局各科室协调力度还不够强，影响了政府公开的实效性，各科室提报信息质量不高，业务知识匮乏。</w:t>
      </w:r>
      <w:r>
        <w:rPr>
          <w:rFonts w:hint="eastAsia" w:ascii="仿宋_GB2312" w:hAnsi="Verdana" w:eastAsia="仿宋_GB2312"/>
          <w:b/>
          <w:bCs/>
          <w:color w:val="auto"/>
          <w:sz w:val="32"/>
          <w:szCs w:val="32"/>
          <w:lang w:val="en-US" w:eastAsia="zh-CN"/>
        </w:rPr>
        <w:t>二是信息公</w:t>
      </w:r>
      <w:r>
        <w:rPr>
          <w:rFonts w:hint="eastAsia" w:ascii="仿宋" w:hAnsi="仿宋" w:eastAsia="仿宋" w:cs="仿宋"/>
          <w:b/>
          <w:bCs/>
          <w:color w:val="auto"/>
          <w:sz w:val="32"/>
          <w:szCs w:val="32"/>
          <w:lang w:val="en-US" w:eastAsia="zh-CN"/>
        </w:rPr>
        <w:t>布的种类未达到全覆盖</w:t>
      </w:r>
      <w:r>
        <w:rPr>
          <w:rFonts w:hint="eastAsia" w:ascii="仿宋" w:hAnsi="仿宋" w:eastAsia="仿宋" w:cs="仿宋"/>
          <w:b w:val="0"/>
          <w:bCs w:val="0"/>
          <w:color w:val="auto"/>
          <w:sz w:val="32"/>
          <w:szCs w:val="32"/>
          <w:lang w:val="en-US" w:eastAsia="zh-CN"/>
        </w:rPr>
        <w:t>，对于行政处罚、生产安全事故调查处理结果相关的信息公开还相对较少，公开渠道相对匮乏，与群众沟通机会少。</w:t>
      </w:r>
    </w:p>
    <w:p>
      <w:pPr>
        <w:pStyle w:val="4"/>
        <w:keepNext w:val="0"/>
        <w:keepLines w:val="0"/>
        <w:pageBreakBefore w:val="0"/>
        <w:widowControl/>
        <w:numPr>
          <w:ilvl w:val="0"/>
          <w:numId w:val="2"/>
        </w:numPr>
        <w:shd w:val="clear" w:color="auto" w:fill="FFFFFF"/>
        <w:kinsoku/>
        <w:wordWrap/>
        <w:overflowPunct/>
        <w:topLinePunct w:val="0"/>
        <w:autoSpaceDE/>
        <w:autoSpaceDN/>
        <w:bidi w:val="0"/>
        <w:adjustRightInd/>
        <w:snapToGrid/>
        <w:spacing w:before="0" w:beforeAutospacing="0" w:after="0" w:afterAutospacing="0" w:line="576" w:lineRule="exact"/>
        <w:ind w:left="0" w:leftChars="0" w:right="800" w:firstLine="480" w:firstLineChars="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改进情况</w:t>
      </w:r>
    </w:p>
    <w:p>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6" w:lineRule="exact"/>
        <w:ind w:left="0" w:leftChars="0" w:right="25" w:rightChars="0" w:firstLine="480" w:firstLineChars="150"/>
        <w:jc w:val="both"/>
        <w:textAlignment w:val="auto"/>
        <w:rPr>
          <w:rFonts w:hint="eastAsia" w:ascii="黑体" w:hAnsi="黑体" w:eastAsia="黑体" w:cs="黑体"/>
          <w:color w:val="auto"/>
          <w:sz w:val="32"/>
          <w:szCs w:val="32"/>
          <w:lang w:val="en-US" w:eastAsia="zh-CN"/>
        </w:rPr>
      </w:pPr>
      <w:r>
        <w:rPr>
          <w:rFonts w:hint="eastAsia" w:ascii="仿宋_GB2312" w:hAnsi="Verdana" w:eastAsia="仿宋_GB2312"/>
          <w:color w:val="auto"/>
          <w:sz w:val="32"/>
          <w:szCs w:val="32"/>
          <w:lang w:val="en-US" w:eastAsia="zh-CN"/>
        </w:rPr>
        <w:t>针对2019年我局政府信息公开工作中存在的问题，提出2020年的改进措施：</w:t>
      </w:r>
      <w:r>
        <w:rPr>
          <w:rFonts w:hint="eastAsia" w:ascii="仿宋_GB2312" w:hAnsi="Verdana" w:eastAsia="仿宋_GB2312"/>
          <w:b/>
          <w:bCs/>
          <w:color w:val="auto"/>
          <w:sz w:val="32"/>
          <w:szCs w:val="32"/>
          <w:lang w:val="en-US" w:eastAsia="zh-CN"/>
        </w:rPr>
        <w:t>一是加强思想教育</w:t>
      </w:r>
      <w:r>
        <w:rPr>
          <w:rFonts w:hint="eastAsia" w:ascii="仿宋_GB2312" w:hAnsi="Verdana" w:eastAsia="仿宋_GB2312"/>
          <w:color w:val="auto"/>
          <w:sz w:val="32"/>
          <w:szCs w:val="32"/>
          <w:lang w:val="en-US" w:eastAsia="zh-CN"/>
        </w:rPr>
        <w:t>，在局内日常工作中强调政府信息公开工作的必要性和重要性，提升全局人员的思想意识以及重视程度，在工作中做到有信息及时上报公开，加强日常业务培训，严格把控政务公开信息质量，保证办公室与各科室信息沟通渠道的畅通。</w:t>
      </w:r>
      <w:r>
        <w:rPr>
          <w:rFonts w:hint="eastAsia" w:ascii="仿宋_GB2312" w:hAnsi="Verdana" w:eastAsia="仿宋_GB2312"/>
          <w:b/>
          <w:bCs/>
          <w:color w:val="auto"/>
          <w:sz w:val="32"/>
          <w:szCs w:val="32"/>
          <w:lang w:val="en-US" w:eastAsia="zh-CN"/>
        </w:rPr>
        <w:t>二是丰富信息内容</w:t>
      </w:r>
      <w:r>
        <w:rPr>
          <w:rFonts w:hint="eastAsia" w:ascii="仿宋_GB2312" w:hAnsi="Verdana" w:eastAsia="仿宋_GB2312"/>
          <w:color w:val="auto"/>
          <w:sz w:val="32"/>
          <w:szCs w:val="32"/>
          <w:lang w:val="en-US" w:eastAsia="zh-CN"/>
        </w:rPr>
        <w:t>，对于现阶段所欠缺的信息公开栏目要有目的、有步骤地予以开发，在信息公开过程中要做到“数据鲜活、信息准确、答复及时”，加大对行政处罚案件，生产安全事故调查处理结果、应急救援的信息公开程度，开拓微信公众号等多种新媒介进行政务公开，加强与群众的沟通渠道，使全局政务公开工作的落到实处。</w:t>
      </w:r>
    </w:p>
    <w:p>
      <w:pPr>
        <w:pStyle w:val="4"/>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576" w:lineRule="exact"/>
        <w:ind w:left="0" w:leftChars="0" w:right="-129" w:rightChars="0" w:firstLine="480" w:firstLineChars="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其他需要报告的事项</w:t>
      </w:r>
    </w:p>
    <w:p>
      <w:pPr>
        <w:pStyle w:val="4"/>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576" w:lineRule="exact"/>
        <w:ind w:left="480" w:leftChars="0" w:right="-129" w:righ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pPr>
        <w:pStyle w:val="4"/>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576" w:lineRule="exact"/>
        <w:ind w:left="480" w:leftChars="0" w:right="-129" w:rightChars="0"/>
        <w:jc w:val="both"/>
        <w:textAlignment w:val="auto"/>
        <w:rPr>
          <w:rFonts w:hint="eastAsia" w:ascii="仿宋_GB2312" w:hAnsi="仿宋_GB2312" w:eastAsia="仿宋_GB2312" w:cs="仿宋_GB2312"/>
          <w:color w:val="auto"/>
          <w:sz w:val="32"/>
          <w:szCs w:val="32"/>
          <w:lang w:val="en-US" w:eastAsia="zh-CN"/>
        </w:rPr>
      </w:pPr>
    </w:p>
    <w:p>
      <w:pPr>
        <w:pStyle w:val="4"/>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576" w:lineRule="exact"/>
        <w:ind w:left="480" w:leftChars="0" w:right="-129" w:righ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w:t>
      </w:r>
    </w:p>
    <w:p>
      <w:pPr>
        <w:pStyle w:val="4"/>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576" w:lineRule="exact"/>
        <w:ind w:right="-129" w:rightChars="0" w:firstLine="4800" w:firstLineChars="15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淄博市博山区应急管理局 </w:t>
      </w:r>
    </w:p>
    <w:p>
      <w:pPr>
        <w:pStyle w:val="4"/>
        <w:keepNext w:val="0"/>
        <w:keepLines w:val="0"/>
        <w:pageBreakBefore w:val="0"/>
        <w:widowControl/>
        <w:numPr>
          <w:numId w:val="0"/>
        </w:numPr>
        <w:kinsoku/>
        <w:wordWrap/>
        <w:overflowPunct/>
        <w:topLinePunct w:val="0"/>
        <w:autoSpaceDE/>
        <w:autoSpaceDN/>
        <w:bidi w:val="0"/>
        <w:adjustRightInd/>
        <w:snapToGrid/>
        <w:spacing w:before="0" w:beforeAutospacing="0" w:after="0" w:afterAutospacing="0" w:line="576" w:lineRule="exact"/>
        <w:ind w:right="-129" w:rightChars="0" w:firstLine="5440" w:firstLineChars="17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2020年1月15日                                </w:t>
      </w:r>
    </w:p>
    <w:bookmarkEnd w:id="0"/>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大标宋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-75565</wp:posOffset>
              </wp:positionV>
              <wp:extent cx="796925" cy="1835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796925" cy="1835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firstLine="240" w:firstLineChars="100"/>
                            <w:rPr>
                              <w:rFonts w:hint="eastAsia"/>
                              <w:sz w:val="24"/>
                              <w:szCs w:val="24"/>
                            </w:rPr>
                          </w:pPr>
                          <w:r>
                            <w:rPr>
                              <w:rFonts w:hint="eastAsia"/>
                              <w:sz w:val="24"/>
                              <w:szCs w:val="24"/>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sz w:val="24"/>
                              <w:szCs w:val="24"/>
                            </w:rPr>
                            <w:t>—</w:t>
                          </w:r>
                        </w:p>
                        <w:p>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5.95pt;height:14.45pt;width:62.75pt;mso-position-horizontal:outside;mso-position-horizontal-relative:margin;z-index:251658240;mso-width-relative:page;mso-height-relative:page;" filled="f" stroked="f" coordsize="21600,21600" o:gfxdata="UEsDBAoAAAAAAIdO4kAAAAAAAAAAAAAAAAAEAAAAZHJzL1BLAwQUAAAACACHTuJAaqbgg9YAAAAH&#10;AQAADwAAAGRycy9kb3ducmV2LnhtbE2PS0/DMBCE70j8B2uRuLV2KpVHiNMDjxvPAhLcnHhJIux1&#10;ZG/S8u9xT3Db0Yxmvq02e+/EjDENgTQUSwUCqQ12oE7D2+vd4gJEYkPWuECo4QcTbOrjo8qUNuzo&#10;BectdyKXUCqNhp55LKVMbY/epGUYkbL3FaI3nGXspI1ml8u9kyulzqQ3A+WF3ox43WP7vZ28BveR&#10;4n2j+HO+6R74+UlO77fFo9anJ4W6AsG4578wHPAzOtSZqQkT2SSchvwIa1gUxSWIg71ar0E0+ThX&#10;IOtK/uevfwFQSwMEFAAAAAgAh07iQLNlWMcbAgAAEwQAAA4AAABkcnMvZTJvRG9jLnhtbK1TTY7T&#10;MBTeI3EHy3uatqOWmarpqMyoCKliRiqItevYjSXbz9huk3IAuAErNuw5V8/Bs9N0ELBCbJyX9+vv&#10;e5/nt63R5CB8UGBLOhoMKRGWQ6XsrqTv361eXFMSIrMV02BFSY8i0NvF82fzxs3EGGrQlfAEm9gw&#10;a1xJ6xjdrCgCr4VhYQBOWAxK8IZF/PW7ovKswe5GF+PhcFo04CvngYsQ0HvfBeki95dS8PggZRCR&#10;6JLi3WI+fT636SwWczbbeeZqxc/XYP9wC8OUxaGXVvcsMrL36o9WRnEPAWQccDAFSKm4yBgQzWj4&#10;G5pNzZzIWJCc4C40hf/Xlr89PHqiqpKOKbHM4IpOX7+cvv04ff9MxomexoUZZm0c5sX2FbS45t4f&#10;0JlQt9Kb9EU8BONI9PFCrmgj4eh8eTO9GU8o4RgaXV9NRpPUpXgqdj7E1wIMSUZJPe4uU8oO6xC7&#10;1D4lzbKwUlrn/WlLmpJOrybDXHCJYHNtcUaC0F01WbHdtmdcW6iOCMtDp4vg+Erh8DUL8ZF5FAIi&#10;QXHHBzykBhwCZ4uSGvynv/lTPu4Ho5Q0KKySho975gUl+o3FzSUV9obvjW1v2L25A9TqCJ+N49nE&#10;Ah91b0oP5gNqfpmmYIhZjrNKGnvzLnbyxjfDxXKZk/bOq13dFaDuHItru3E8jemoXO4jSJVZThR1&#10;vJyZQ+XlPZ1fSZL2r/856+ktL3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qbgg9YAAAAHAQAA&#10;DwAAAAAAAAABACAAAAAiAAAAZHJzL2Rvd25yZXYueG1sUEsBAhQAFAAAAAgAh07iQLNlWMcbAgAA&#10;EwQAAA4AAAAAAAAAAQAgAAAAJQEAAGRycy9lMm9Eb2MueG1sUEsFBgAAAAAGAAYAWQEAALIFAAAA&#10;AA==&#10;">
              <v:fill on="f" focussize="0,0"/>
              <v:stroke on="f" weight="0.5pt"/>
              <v:imagedata o:title=""/>
              <o:lock v:ext="edit" aspectratio="f"/>
              <v:textbox inset="0mm,0mm,0mm,0mm">
                <w:txbxContent>
                  <w:p>
                    <w:pPr>
                      <w:pStyle w:val="2"/>
                      <w:ind w:firstLine="240" w:firstLineChars="100"/>
                      <w:rPr>
                        <w:rFonts w:hint="eastAsia"/>
                        <w:sz w:val="24"/>
                        <w:szCs w:val="24"/>
                      </w:rPr>
                    </w:pPr>
                    <w:r>
                      <w:rPr>
                        <w:rFonts w:hint="eastAsia"/>
                        <w:sz w:val="24"/>
                        <w:szCs w:val="24"/>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sz w:val="24"/>
                        <w:szCs w:val="24"/>
                      </w:rPr>
                      <w:t>—</w:t>
                    </w:r>
                  </w:p>
                  <w:p>
                    <w:pPr>
                      <w:rPr>
                        <w:rFonts w:hint="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AB9277"/>
    <w:multiLevelType w:val="singleLevel"/>
    <w:tmpl w:val="82AB9277"/>
    <w:lvl w:ilvl="0" w:tentative="0">
      <w:start w:val="2"/>
      <w:numFmt w:val="chineseCounting"/>
      <w:suff w:val="nothing"/>
      <w:lvlText w:val="%1、"/>
      <w:lvlJc w:val="left"/>
      <w:rPr>
        <w:rFonts w:hint="eastAsia"/>
      </w:rPr>
    </w:lvl>
  </w:abstractNum>
  <w:abstractNum w:abstractNumId="1">
    <w:nsid w:val="8D054B00"/>
    <w:multiLevelType w:val="singleLevel"/>
    <w:tmpl w:val="8D054B00"/>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43DE0"/>
    <w:rsid w:val="05052761"/>
    <w:rsid w:val="05633F36"/>
    <w:rsid w:val="08B85749"/>
    <w:rsid w:val="09BA7CFC"/>
    <w:rsid w:val="0D6A4564"/>
    <w:rsid w:val="1378679D"/>
    <w:rsid w:val="171D4B23"/>
    <w:rsid w:val="181E72D4"/>
    <w:rsid w:val="1B77036E"/>
    <w:rsid w:val="1F0B22C7"/>
    <w:rsid w:val="255A2DFC"/>
    <w:rsid w:val="2BDD6410"/>
    <w:rsid w:val="2FEA4973"/>
    <w:rsid w:val="33424A5D"/>
    <w:rsid w:val="34313167"/>
    <w:rsid w:val="382A2A3F"/>
    <w:rsid w:val="3A267FBC"/>
    <w:rsid w:val="3CE51829"/>
    <w:rsid w:val="3FB4756E"/>
    <w:rsid w:val="3FDB10A4"/>
    <w:rsid w:val="444D48C0"/>
    <w:rsid w:val="45F662FB"/>
    <w:rsid w:val="48000887"/>
    <w:rsid w:val="4B093491"/>
    <w:rsid w:val="533262EC"/>
    <w:rsid w:val="566A5FC8"/>
    <w:rsid w:val="5A211EA5"/>
    <w:rsid w:val="5BA52505"/>
    <w:rsid w:val="5C7D51A0"/>
    <w:rsid w:val="5DA67F93"/>
    <w:rsid w:val="60835ED2"/>
    <w:rsid w:val="66E32E02"/>
    <w:rsid w:val="679E63C4"/>
    <w:rsid w:val="6BD00C76"/>
    <w:rsid w:val="6DAD1553"/>
    <w:rsid w:val="6E6B0F0B"/>
    <w:rsid w:val="6FC01094"/>
    <w:rsid w:val="71C25B3B"/>
    <w:rsid w:val="75CD6B27"/>
    <w:rsid w:val="7A0B4B40"/>
    <w:rsid w:val="7A1814F8"/>
    <w:rsid w:val="7D6300B0"/>
    <w:rsid w:val="7E3A6406"/>
    <w:rsid w:val="7FF07A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FollowedHyperlink"/>
    <w:basedOn w:val="7"/>
    <w:qFormat/>
    <w:uiPriority w:val="0"/>
    <w:rPr>
      <w:color w:val="800080"/>
      <w:u w:val="none"/>
    </w:rPr>
  </w:style>
  <w:style w:type="character" w:styleId="10">
    <w:name w:val="Hyperlink"/>
    <w:basedOn w:val="7"/>
    <w:qFormat/>
    <w:uiPriority w:val="0"/>
    <w:rPr>
      <w:color w:val="0000FF"/>
      <w:u w:val="none"/>
    </w:rPr>
  </w:style>
  <w:style w:type="paragraph" w:customStyle="1" w:styleId="1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2">
    <w:name w:val="disabled"/>
    <w:basedOn w:val="7"/>
    <w:qFormat/>
    <w:uiPriority w:val="0"/>
    <w:rPr>
      <w:color w:val="CCCCCC"/>
      <w:bdr w:val="single" w:color="F3F3F3" w:sz="6" w:space="0"/>
    </w:rPr>
  </w:style>
  <w:style w:type="character" w:customStyle="1" w:styleId="13">
    <w:name w:val="current"/>
    <w:basedOn w:val="7"/>
    <w:qFormat/>
    <w:uiPriority w:val="0"/>
    <w:rPr>
      <w:color w:val="FFFFFF"/>
      <w:u w:val="none"/>
      <w:bdr w:val="single" w:color="FB6E52" w:sz="6" w:space="0"/>
      <w:shd w:val="clear" w:fill="FB6E52"/>
    </w:rPr>
  </w:style>
  <w:style w:type="character" w:customStyle="1" w:styleId="14">
    <w:name w:val="current1"/>
    <w:basedOn w:val="7"/>
    <w:qFormat/>
    <w:uiPriority w:val="0"/>
    <w:rPr>
      <w:b/>
      <w:color w:val="FFFFFF"/>
      <w:bdr w:val="single" w:color="D80D00" w:sz="6" w:space="0"/>
      <w:shd w:val="clear" w:fill="D80D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271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aksjaklf</dc:creator>
  <cp:lastModifiedBy>定向爆破</cp:lastModifiedBy>
  <cp:lastPrinted>2020-01-15T02:26:01Z</cp:lastPrinted>
  <dcterms:modified xsi:type="dcterms:W3CDTF">2020-01-15T07:58:17Z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