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76"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BSDR-2021-0020001</w:t>
      </w:r>
    </w:p>
    <w:p>
      <w:pPr>
        <w:widowControl/>
        <w:snapToGrid w:val="0"/>
        <w:spacing w:line="576" w:lineRule="exact"/>
        <w:jc w:val="both"/>
        <w:rPr>
          <w:rFonts w:hint="eastAsia" w:ascii="仿宋_GB2312" w:hAnsi="仿宋_GB2312" w:eastAsia="仿宋_GB2312" w:cs="仿宋_GB2312"/>
          <w:sz w:val="32"/>
          <w:szCs w:val="32"/>
        </w:rPr>
      </w:pPr>
    </w:p>
    <w:p>
      <w:pPr>
        <w:widowControl/>
        <w:snapToGrid w:val="0"/>
        <w:spacing w:line="576" w:lineRule="exact"/>
        <w:jc w:val="both"/>
        <w:rPr>
          <w:rFonts w:hint="eastAsia" w:ascii="仿宋_GB2312" w:hAnsi="仿宋_GB2312" w:eastAsia="仿宋_GB2312" w:cs="仿宋_GB2312"/>
          <w:sz w:val="32"/>
          <w:szCs w:val="32"/>
        </w:rPr>
      </w:pPr>
    </w:p>
    <w:p>
      <w:pPr>
        <w:widowControl/>
        <w:snapToGrid w:val="0"/>
        <w:spacing w:line="576" w:lineRule="exact"/>
        <w:jc w:val="both"/>
        <w:rPr>
          <w:rFonts w:hint="eastAsia" w:ascii="仿宋_GB2312" w:hAnsi="仿宋_GB2312" w:eastAsia="仿宋_GB2312" w:cs="仿宋_GB2312"/>
          <w:sz w:val="32"/>
          <w:szCs w:val="32"/>
        </w:rPr>
      </w:pPr>
    </w:p>
    <w:p>
      <w:pPr>
        <w:widowControl/>
        <w:snapToGrid w:val="0"/>
        <w:spacing w:line="576" w:lineRule="exact"/>
        <w:jc w:val="both"/>
        <w:rPr>
          <w:rFonts w:hint="eastAsia" w:ascii="仿宋_GB2312" w:hAnsi="仿宋_GB2312" w:eastAsia="仿宋_GB2312" w:cs="仿宋_GB2312"/>
          <w:sz w:val="32"/>
          <w:szCs w:val="32"/>
        </w:rPr>
      </w:pPr>
    </w:p>
    <w:p>
      <w:pPr>
        <w:widowControl/>
        <w:snapToGrid w:val="0"/>
        <w:spacing w:line="576" w:lineRule="exact"/>
        <w:jc w:val="both"/>
        <w:rPr>
          <w:rFonts w:hint="eastAsia" w:ascii="仿宋_GB2312" w:hAnsi="仿宋_GB2312" w:eastAsia="仿宋_GB2312" w:cs="仿宋_GB2312"/>
          <w:sz w:val="32"/>
          <w:szCs w:val="32"/>
        </w:rPr>
      </w:pPr>
    </w:p>
    <w:p>
      <w:pPr>
        <w:widowControl/>
        <w:snapToGrid w:val="0"/>
        <w:spacing w:line="576"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博政办</w:t>
      </w:r>
      <w:r>
        <w:rPr>
          <w:rFonts w:hint="eastAsia" w:ascii="仿宋_GB2312" w:hAnsi="仿宋_GB2312" w:eastAsia="仿宋_GB2312" w:cs="仿宋_GB2312"/>
          <w:sz w:val="32"/>
          <w:szCs w:val="32"/>
          <w:lang w:eastAsia="zh-CN"/>
        </w:rPr>
        <w:t>字</w:t>
      </w:r>
      <w:r>
        <w:rPr>
          <w:rFonts w:hint="eastAsia" w:ascii="仿宋_GB2312" w:hAnsi="仿宋_GB2312" w:eastAsia="仿宋_GB2312" w:cs="仿宋_GB2312"/>
          <w:sz w:val="32"/>
          <w:szCs w:val="32"/>
        </w:rPr>
        <w:t>〔2021〕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号</w:t>
      </w:r>
    </w:p>
    <w:p>
      <w:pPr>
        <w:widowControl/>
        <w:snapToGrid w:val="0"/>
        <w:spacing w:line="576" w:lineRule="exact"/>
        <w:ind w:right="-340" w:rightChars="-162"/>
        <w:jc w:val="both"/>
        <w:rPr>
          <w:rFonts w:hint="eastAsia" w:ascii="方正小标宋简体" w:hAnsi="方正小标宋_GBK" w:eastAsia="方正小标宋简体" w:cs="方正小标宋_GBK"/>
          <w:sz w:val="44"/>
          <w:szCs w:val="44"/>
        </w:rPr>
      </w:pPr>
    </w:p>
    <w:p>
      <w:pPr>
        <w:widowControl/>
        <w:snapToGrid w:val="0"/>
        <w:spacing w:line="576" w:lineRule="exact"/>
        <w:ind w:right="-340" w:rightChars="-162"/>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博山区人民政府办公室</w:t>
      </w:r>
    </w:p>
    <w:p>
      <w:pPr>
        <w:widowControl/>
        <w:snapToGrid w:val="0"/>
        <w:spacing w:line="576" w:lineRule="exact"/>
        <w:ind w:right="-57" w:rightChars="-27"/>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关于印发《博山区关于全面推行惠民殡葬</w:t>
      </w:r>
    </w:p>
    <w:p>
      <w:pPr>
        <w:widowControl/>
        <w:snapToGrid w:val="0"/>
        <w:spacing w:line="576" w:lineRule="exact"/>
        <w:ind w:right="-57" w:rightChars="-27"/>
        <w:jc w:val="center"/>
        <w:rPr>
          <w:rFonts w:ascii="方正小标宋简体" w:hAnsi="仿宋_GB2312" w:eastAsia="方正小标宋简体" w:cs="仿宋_GB2312"/>
          <w:sz w:val="32"/>
          <w:szCs w:val="32"/>
        </w:rPr>
      </w:pPr>
      <w:r>
        <w:rPr>
          <w:rFonts w:hint="eastAsia" w:ascii="方正小标宋简体" w:hAnsi="方正小标宋_GBK" w:eastAsia="方正小标宋简体" w:cs="方正小标宋_GBK"/>
          <w:sz w:val="44"/>
          <w:szCs w:val="44"/>
        </w:rPr>
        <w:t>政策的实施意见》的通知</w:t>
      </w:r>
    </w:p>
    <w:p>
      <w:pPr>
        <w:widowControl/>
        <w:snapToGrid w:val="0"/>
        <w:spacing w:line="576"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各镇人民政府、街道办事处，区政府各部门，各有关单位：</w:t>
      </w:r>
    </w:p>
    <w:p>
      <w:pPr>
        <w:widowControl/>
        <w:snapToGrid w:val="0"/>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《博山区关于全面推行惠民殡葬政策的实施意见》</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经区政府</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同意，现印发给你们，请认真贯彻执行。</w:t>
      </w:r>
    </w:p>
    <w:p>
      <w:pPr>
        <w:widowControl/>
        <w:snapToGrid w:val="0"/>
        <w:spacing w:line="576" w:lineRule="exact"/>
        <w:ind w:firstLine="640" w:firstLineChars="200"/>
        <w:jc w:val="left"/>
        <w:rPr>
          <w:rFonts w:ascii="仿宋_GB2312" w:hAnsi="仿宋_GB2312" w:eastAsia="仿宋_GB2312" w:cs="仿宋_GB2312"/>
          <w:sz w:val="32"/>
          <w:szCs w:val="32"/>
        </w:rPr>
      </w:pPr>
    </w:p>
    <w:p>
      <w:pPr>
        <w:widowControl/>
        <w:snapToGrid w:val="0"/>
        <w:spacing w:line="576" w:lineRule="exact"/>
        <w:ind w:firstLine="640" w:firstLineChars="200"/>
        <w:jc w:val="left"/>
        <w:rPr>
          <w:rFonts w:ascii="仿宋_GB2312" w:hAnsi="仿宋_GB2312" w:eastAsia="仿宋_GB2312" w:cs="仿宋_GB2312"/>
          <w:sz w:val="32"/>
          <w:szCs w:val="32"/>
        </w:rPr>
      </w:pPr>
    </w:p>
    <w:p>
      <w:pPr>
        <w:widowControl/>
        <w:snapToGrid w:val="0"/>
        <w:spacing w:line="576" w:lineRule="exact"/>
        <w:ind w:right="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博山区人民政府办公室</w:t>
      </w:r>
    </w:p>
    <w:p>
      <w:pPr>
        <w:widowControl/>
        <w:snapToGrid w:val="0"/>
        <w:spacing w:line="576"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w:t>
      </w:r>
    </w:p>
    <w:p>
      <w:pPr>
        <w:widowControl/>
        <w:snapToGrid w:val="0"/>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pPr>
        <w:widowControl/>
        <w:snapToGrid w:val="0"/>
        <w:spacing w:line="576" w:lineRule="exact"/>
        <w:ind w:firstLine="640" w:firstLineChars="200"/>
        <w:jc w:val="left"/>
        <w:rPr>
          <w:rFonts w:ascii="仿宋_GB2312" w:hAnsi="仿宋_GB2312" w:eastAsia="仿宋_GB2312" w:cs="仿宋_GB2312"/>
          <w:sz w:val="32"/>
          <w:szCs w:val="32"/>
        </w:rPr>
      </w:pPr>
    </w:p>
    <w:p>
      <w:pPr>
        <w:widowControl/>
        <w:snapToGrid w:val="0"/>
        <w:spacing w:line="576" w:lineRule="exact"/>
        <w:ind w:firstLine="640" w:firstLineChars="200"/>
        <w:jc w:val="left"/>
        <w:rPr>
          <w:rFonts w:ascii="仿宋_GB2312" w:hAnsi="仿宋_GB2312" w:eastAsia="仿宋_GB2312" w:cs="仿宋_GB2312"/>
          <w:sz w:val="32"/>
          <w:szCs w:val="32"/>
        </w:rPr>
      </w:pPr>
    </w:p>
    <w:p>
      <w:pPr>
        <w:widowControl/>
        <w:snapToGrid w:val="0"/>
        <w:spacing w:line="576"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博山区关于全面推行</w:t>
      </w:r>
    </w:p>
    <w:p>
      <w:pPr>
        <w:widowControl/>
        <w:snapToGrid w:val="0"/>
        <w:spacing w:line="576" w:lineRule="exact"/>
        <w:jc w:val="center"/>
        <w:rPr>
          <w:rFonts w:ascii="仿宋_GB2312" w:hAnsi="仿宋_GB2312" w:eastAsia="仿宋_GB2312" w:cs="仿宋_GB2312"/>
          <w:sz w:val="32"/>
          <w:szCs w:val="32"/>
        </w:rPr>
      </w:pPr>
      <w:r>
        <w:rPr>
          <w:rFonts w:hint="eastAsia" w:ascii="方正小标宋简体" w:hAnsi="方正小标宋_GBK" w:eastAsia="方正小标宋简体" w:cs="方正小标宋_GBK"/>
          <w:sz w:val="44"/>
          <w:szCs w:val="44"/>
        </w:rPr>
        <w:t>惠民殡葬政策的实施意见</w:t>
      </w:r>
    </w:p>
    <w:p>
      <w:pPr>
        <w:widowControl/>
        <w:snapToGrid w:val="0"/>
        <w:spacing w:line="576" w:lineRule="exact"/>
        <w:ind w:firstLine="640" w:firstLineChars="200"/>
        <w:jc w:val="left"/>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进一步深化殡葬改革，切实减轻群众殡葬负担，推动移风易俗，保障改善民生，根据民政部《关于全面推行惠民殡葬政策的指导意见》（民发〔2012〕211号）、省委办公厅省政府办公厅《关于倡导移风易俗推动绿色殡葬建设的指导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（鲁厅字〔2019〕75号）和《淄博市人民政府办公室关于进一步完善惠民殡葬政策有关事项的通知》（淄政办字〔2020〕116号），经区政府同意，结合我区实际，</w:t>
      </w:r>
      <w:r>
        <w:rPr>
          <w:rFonts w:hint="eastAsia" w:ascii="仿宋_GB2312" w:eastAsia="仿宋_GB2312"/>
          <w:color w:val="000000"/>
          <w:sz w:val="32"/>
          <w:szCs w:val="32"/>
          <w:shd w:val="clear" w:color="auto" w:fill="FFFFFF"/>
        </w:rPr>
        <w:t>制定本实施意见。</w:t>
      </w:r>
    </w:p>
    <w:p>
      <w:pPr>
        <w:keepNext w:val="0"/>
        <w:keepLines w:val="0"/>
        <w:pageBreakBefore w:val="0"/>
        <w:widowControl/>
        <w:kinsoku/>
        <w:wordWrap/>
        <w:overflowPunct/>
        <w:topLinePunct w:val="0"/>
        <w:autoSpaceDE/>
        <w:autoSpaceDN/>
        <w:bidi w:val="0"/>
        <w:adjustRightInd/>
        <w:snapToGrid w:val="0"/>
        <w:spacing w:line="560" w:lineRule="exact"/>
        <w:jc w:val="left"/>
        <w:textAlignment w:val="auto"/>
        <w:rPr>
          <w:rFonts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一、指导思想</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全面贯彻党的十九届五中全会精神，以习近平新时代中国特色社会主义思想为指导，认真贯彻落实国家、省、市及区委、区政府决策部署，围绕建设惠民、绿色、文明殡葬，以提升殡葬公共服务能力、减轻群众殡葬负担为基本目标，全面推行惠民殡葬政策，在全区建立健全覆盖城乡、持续发展的殡葬公共服务体系。</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ascii="黑体" w:hAnsi="黑体" w:eastAsia="黑体" w:cs="黑体"/>
          <w:sz w:val="32"/>
          <w:szCs w:val="32"/>
        </w:rPr>
      </w:pPr>
      <w:r>
        <w:rPr>
          <w:rFonts w:hint="eastAsia" w:ascii="黑体" w:hAnsi="黑体" w:eastAsia="黑体" w:cs="黑体"/>
          <w:sz w:val="32"/>
          <w:szCs w:val="32"/>
        </w:rPr>
        <w:t>二、免费对象</w:t>
      </w:r>
    </w:p>
    <w:p>
      <w:pPr>
        <w:keepNext w:val="0"/>
        <w:keepLines w:val="0"/>
        <w:pageBreakBefore w:val="0"/>
        <w:widowControl/>
        <w:kinsoku/>
        <w:wordWrap/>
        <w:overflowPunct/>
        <w:topLinePunct w:val="0"/>
        <w:autoSpaceDE/>
        <w:autoSpaceDN/>
        <w:bidi w:val="0"/>
        <w:adjustRightInd/>
        <w:snapToGrid w:val="0"/>
        <w:spacing w:line="560" w:lineRule="exact"/>
        <w:jc w:val="left"/>
        <w:textAlignment w:val="auto"/>
        <w:rPr>
          <w:rFonts w:ascii="仿宋_GB2312" w:hAnsi="仿宋_GB2312" w:eastAsia="仿宋_GB2312" w:cs="仿宋_GB2312"/>
          <w:sz w:val="32"/>
          <w:szCs w:val="32"/>
        </w:rPr>
      </w:pPr>
      <w:r>
        <w:rPr>
          <w:rFonts w:hint="eastAsia" w:ascii="黑体" w:hAnsi="黑体" w:eastAsia="黑体" w:cs="黑体"/>
          <w:sz w:val="32"/>
          <w:szCs w:val="32"/>
        </w:rPr>
        <w:t>　　</w:t>
      </w:r>
      <w:r>
        <w:rPr>
          <w:rFonts w:hint="eastAsia" w:ascii="仿宋_GB2312" w:hAnsi="仿宋_GB2312" w:eastAsia="仿宋_GB2312" w:cs="仿宋_GB2312"/>
          <w:sz w:val="32"/>
          <w:szCs w:val="32"/>
        </w:rPr>
        <w:t>下列人员死亡后，免除基本殡葬服务费用：</w:t>
      </w:r>
    </w:p>
    <w:p>
      <w:pPr>
        <w:keepNext w:val="0"/>
        <w:keepLines w:val="0"/>
        <w:pageBreakBefore w:val="0"/>
        <w:widowControl/>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（一）具有博山区户籍的居民</w:t>
      </w:r>
      <w:r>
        <w:rPr>
          <w:rFonts w:hint="eastAsia" w:ascii="仿宋_GB2312" w:hAnsi="仿宋_GB2312" w:eastAsia="仿宋_GB2312" w:cs="仿宋_GB2312"/>
          <w:sz w:val="32"/>
          <w:szCs w:val="32"/>
          <w:lang w:eastAsia="zh-CN"/>
        </w:rPr>
        <w:t>；</w:t>
      </w:r>
    </w:p>
    <w:p>
      <w:pPr>
        <w:keepNext w:val="0"/>
        <w:keepLines w:val="0"/>
        <w:pageBreakBefore w:val="0"/>
        <w:tabs>
          <w:tab w:val="left" w:pos="2542"/>
        </w:tabs>
        <w:kinsoku/>
        <w:wordWrap/>
        <w:overflowPunct/>
        <w:topLinePunct w:val="0"/>
        <w:autoSpaceDE/>
        <w:autoSpaceDN/>
        <w:bidi w:val="0"/>
        <w:adjustRightInd/>
        <w:spacing w:line="560" w:lineRule="exact"/>
        <w:ind w:firstLine="645"/>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（二）尚未登记博山区户口的新生儿及本区社会福利机构抚养的儿童</w:t>
      </w:r>
      <w:r>
        <w:rPr>
          <w:rFonts w:hint="eastAsia" w:ascii="仿宋_GB2312" w:hAnsi="仿宋_GB2312" w:eastAsia="仿宋_GB2312" w:cs="仿宋_GB2312"/>
          <w:sz w:val="32"/>
          <w:szCs w:val="32"/>
          <w:lang w:eastAsia="zh-CN"/>
        </w:rPr>
        <w:t>；</w:t>
      </w:r>
    </w:p>
    <w:p>
      <w:pPr>
        <w:tabs>
          <w:tab w:val="left" w:pos="2542"/>
        </w:tabs>
        <w:spacing w:line="576" w:lineRule="exact"/>
        <w:ind w:firstLine="64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（三）在博山区救助管理机构死亡且经相关部门确认无法查明身份的受助人员</w:t>
      </w:r>
      <w:r>
        <w:rPr>
          <w:rFonts w:hint="eastAsia" w:ascii="仿宋_GB2312" w:hAnsi="仿宋_GB2312" w:eastAsia="仿宋_GB2312" w:cs="仿宋_GB2312"/>
          <w:sz w:val="32"/>
          <w:szCs w:val="32"/>
          <w:lang w:eastAsia="zh-CN"/>
        </w:rPr>
        <w:t>；</w:t>
      </w:r>
    </w:p>
    <w:p>
      <w:pPr>
        <w:widowControl/>
        <w:snapToGrid w:val="0"/>
        <w:spacing w:line="576"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（四）驻博山区大中专院校全日制学生</w:t>
      </w:r>
      <w:r>
        <w:rPr>
          <w:rFonts w:hint="eastAsia" w:ascii="仿宋_GB2312" w:hAnsi="仿宋_GB2312" w:eastAsia="仿宋_GB2312" w:cs="仿宋_GB2312"/>
          <w:sz w:val="32"/>
          <w:szCs w:val="32"/>
          <w:lang w:eastAsia="zh-CN"/>
        </w:rPr>
        <w:t>；</w:t>
      </w:r>
    </w:p>
    <w:p>
      <w:pPr>
        <w:widowControl/>
        <w:snapToGrid w:val="0"/>
        <w:spacing w:line="576" w:lineRule="exact"/>
        <w:ind w:firstLine="645"/>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（五）本区公安部门认定的未知名尸体。</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三、免费项目</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（一）殡仪车遗体接运（含馆外抬尸、消毒）；</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（二）馆内遗体搬运；</w:t>
      </w:r>
      <w:r>
        <w:rPr>
          <w:rFonts w:ascii="仿宋_GB2312" w:hAnsi="仿宋_GB2312" w:eastAsia="仿宋_GB2312" w:cs="仿宋_GB2312"/>
          <w:sz w:val="32"/>
          <w:szCs w:val="32"/>
        </w:rPr>
        <w:t xml:space="preserve"> </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（三）遗体验尸消毒；</w:t>
      </w:r>
      <w:r>
        <w:rPr>
          <w:rFonts w:ascii="仿宋_GB2312" w:hAnsi="仿宋_GB2312" w:eastAsia="仿宋_GB2312" w:cs="仿宋_GB2312"/>
          <w:sz w:val="32"/>
          <w:szCs w:val="32"/>
        </w:rPr>
        <w:t xml:space="preserve"> </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（四）3天内遗体冷藏；</w:t>
      </w:r>
      <w:r>
        <w:rPr>
          <w:rFonts w:ascii="仿宋_GB2312" w:hAnsi="仿宋_GB2312" w:eastAsia="仿宋_GB2312" w:cs="仿宋_GB2312"/>
          <w:sz w:val="32"/>
          <w:szCs w:val="32"/>
        </w:rPr>
        <w:t xml:space="preserve"> </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（五）普通炉遗体火化；</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（六）普通骨灰盒；</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（七）1年内骨灰寄存。</w:t>
      </w:r>
    </w:p>
    <w:p>
      <w:pPr>
        <w:widowControl/>
        <w:snapToGrid w:val="0"/>
        <w:spacing w:line="576" w:lineRule="exact"/>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四、申请程序</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符合规定的免费对象死亡后，经办人持医疗机构出具的《死亡证明书》（《死亡推断书》）或公安部门出具的死亡证明，到博山区殡仪馆办理免费对象基本殡葬服务费用的免除手续，同时提供以下材料原件，需要复印件存档的，由殡仪馆自行复印：</w:t>
      </w:r>
    </w:p>
    <w:p>
      <w:pPr>
        <w:widowControl/>
        <w:snapToGrid w:val="0"/>
        <w:spacing w:line="576"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（一）经办人本人身份证原件</w:t>
      </w:r>
      <w:r>
        <w:rPr>
          <w:rFonts w:hint="eastAsia" w:ascii="仿宋_GB2312" w:hAnsi="仿宋_GB2312" w:eastAsia="仿宋_GB2312" w:cs="仿宋_GB2312"/>
          <w:sz w:val="32"/>
          <w:szCs w:val="32"/>
          <w:lang w:eastAsia="zh-CN"/>
        </w:rPr>
        <w:t>；</w:t>
      </w:r>
    </w:p>
    <w:p>
      <w:pPr>
        <w:widowControl/>
        <w:snapToGrid w:val="0"/>
        <w:spacing w:line="576"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（二）本区户籍免费对象的身份证或户口簿原件</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（三）逝者为尚未登记户口的新生儿、社会福利机构抚养的儿童，需提供医疗机构或社会福利机构证明</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（四）逝者为无法查明身份且在救助管理机构死亡的，需</w:t>
      </w:r>
      <w:r>
        <w:rPr>
          <w:rFonts w:hint="eastAsia" w:ascii="仿宋_GB2312" w:hAnsi="仿宋_GB2312" w:eastAsia="仿宋_GB2312" w:cs="仿宋_GB2312"/>
          <w:sz w:val="32"/>
          <w:szCs w:val="32"/>
          <w:lang w:eastAsia="zh-CN"/>
        </w:rPr>
        <w:t>提</w:t>
      </w:r>
      <w:r>
        <w:rPr>
          <w:rFonts w:hint="eastAsia" w:ascii="仿宋_GB2312" w:hAnsi="仿宋_GB2312" w:eastAsia="仿宋_GB2312" w:cs="仿宋_GB2312"/>
          <w:sz w:val="32"/>
          <w:szCs w:val="32"/>
        </w:rPr>
        <w:t>供救助管理机构出具的证明</w:t>
      </w:r>
      <w:r>
        <w:rPr>
          <w:rFonts w:hint="eastAsia" w:ascii="仿宋_GB2312" w:hAnsi="仿宋_GB2312" w:eastAsia="仿宋_GB2312" w:cs="仿宋_GB2312"/>
          <w:sz w:val="32"/>
          <w:szCs w:val="32"/>
          <w:lang w:eastAsia="zh-CN"/>
        </w:rPr>
        <w:t>；</w:t>
      </w:r>
    </w:p>
    <w:p>
      <w:pPr>
        <w:widowControl/>
        <w:snapToGrid w:val="0"/>
        <w:spacing w:line="576"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（五）逝者为驻博山区大中专院校全日制学生，需提供学校出具的证明和逝者的身份证、学生证原件</w:t>
      </w:r>
      <w:r>
        <w:rPr>
          <w:rFonts w:hint="eastAsia" w:ascii="仿宋_GB2312" w:hAnsi="仿宋_GB2312" w:eastAsia="仿宋_GB2312" w:cs="仿宋_GB2312"/>
          <w:sz w:val="32"/>
          <w:szCs w:val="32"/>
          <w:lang w:eastAsia="zh-CN"/>
        </w:rPr>
        <w:t>；</w:t>
      </w:r>
    </w:p>
    <w:p>
      <w:pPr>
        <w:widowControl/>
        <w:snapToGrid w:val="0"/>
        <w:spacing w:line="576" w:lineRule="exact"/>
        <w:ind w:firstLine="645"/>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（六）未知名尸体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需提供公安部门出具的死亡证明、火化通知书。</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五、结算规定</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（一）免费对象在博山区殡仪馆发生的基本殡葬服务费用，经殡仪馆审查确认后，根据免除项目和标准，在结算时予以免除。超过免除项目费用标准的部分由逝者的直系亲属、法定监护人或者相关单位机构负担。</w:t>
      </w:r>
    </w:p>
    <w:p>
      <w:pPr>
        <w:tabs>
          <w:tab w:val="left" w:pos="5610"/>
        </w:tabs>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　　（二）在博山行政区域外去世并在非户籍所在地殡仪馆火化发生的基本殡葬服务费用，由丧事经办人预先垫付。自火化之日起1个月内，经办人持医疗机构出具的《死亡证明书》（《死亡推断书》）或公安部门出具的死亡证明、遗体火化证明、发票原件到</w:t>
      </w:r>
      <w:r>
        <w:rPr>
          <w:rFonts w:hint="eastAsia" w:ascii="仿宋_GB2312" w:hAnsi="仿宋_GB2312" w:eastAsia="仿宋_GB2312" w:cs="仿宋_GB2312"/>
          <w:color w:val="auto"/>
          <w:sz w:val="32"/>
          <w:szCs w:val="32"/>
        </w:rPr>
        <w:t>殡仪馆审查确认后予以结算。</w:t>
      </w:r>
    </w:p>
    <w:p>
      <w:pPr>
        <w:tabs>
          <w:tab w:val="left" w:pos="139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（三）未发生的免除服务项目费用，不折现、不折抵。免除费用项目外的费用由逝者的直系亲属、法定监护人或者相关单位机构负担。</w:t>
      </w:r>
    </w:p>
    <w:p>
      <w:pPr>
        <w:widowControl/>
        <w:snapToGrid w:val="0"/>
        <w:spacing w:line="576" w:lineRule="exact"/>
        <w:ind w:firstLine="640"/>
        <w:jc w:val="left"/>
        <w:rPr>
          <w:rFonts w:hint="eastAsia" w:ascii="黑体" w:hAnsi="黑体" w:eastAsia="黑体" w:cs="黑体"/>
          <w:sz w:val="32"/>
          <w:szCs w:val="32"/>
        </w:rPr>
      </w:pPr>
      <w:r>
        <w:rPr>
          <w:rFonts w:hint="eastAsia" w:ascii="黑体" w:hAnsi="黑体" w:eastAsia="黑体" w:cs="黑体"/>
          <w:sz w:val="32"/>
          <w:szCs w:val="32"/>
        </w:rPr>
        <w:t>六、经费保障</w:t>
      </w:r>
    </w:p>
    <w:p>
      <w:pPr>
        <w:widowControl/>
        <w:snapToGrid w:val="0"/>
        <w:spacing w:line="576"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免除基本殡葬服务费用所需经费以上年火化人数、人均1000元为基数，除市级财政负担的40%外，剩余60%由区级财政负担，所须费用列入政府财政预算。区殡仪馆负责办理免费手续，填写《博山区免除基本殡葬服务费用汇总表》，并附《博山区免除基本殡葬服务费用申请表》报送</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民政部门审核，审核后由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民政部门按资金申报流程提报资金申请。对于无法确认户籍所在地的，按逝者居住地或发现地区认定，所需费用由区财政负担。</w:t>
      </w:r>
    </w:p>
    <w:p>
      <w:pPr>
        <w:widowControl/>
        <w:snapToGrid w:val="0"/>
        <w:spacing w:line="576" w:lineRule="exact"/>
        <w:ind w:firstLine="645"/>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（二）区财政对免除基本殡葬服务费用所需经费实行按</w:t>
      </w:r>
      <w:r>
        <w:rPr>
          <w:rFonts w:hint="eastAsia" w:ascii="仿宋_GB2312" w:hAnsi="仿宋_GB2312" w:eastAsia="仿宋_GB2312" w:cs="仿宋_GB2312"/>
          <w:sz w:val="32"/>
          <w:szCs w:val="32"/>
          <w:lang w:eastAsia="zh-CN"/>
        </w:rPr>
        <w:t>季度</w:t>
      </w:r>
      <w:r>
        <w:rPr>
          <w:rFonts w:hint="eastAsia" w:ascii="仿宋_GB2312" w:hAnsi="仿宋_GB2312" w:eastAsia="仿宋_GB2312" w:cs="仿宋_GB2312"/>
          <w:sz w:val="32"/>
          <w:szCs w:val="32"/>
        </w:rPr>
        <w:t>结算拨付。</w:t>
      </w:r>
    </w:p>
    <w:p>
      <w:pPr>
        <w:widowControl/>
        <w:snapToGrid w:val="0"/>
        <w:spacing w:line="576" w:lineRule="exact"/>
        <w:ind w:firstLine="640" w:firstLineChars="200"/>
        <w:jc w:val="left"/>
        <w:rPr>
          <w:rFonts w:ascii="仿宋_GB2312" w:hAnsi="仿宋_GB2312" w:eastAsia="仿宋_GB2312" w:cs="仿宋_GB2312"/>
          <w:sz w:val="32"/>
          <w:szCs w:val="32"/>
        </w:rPr>
      </w:pPr>
      <w:r>
        <w:rPr>
          <w:rFonts w:hint="eastAsia" w:ascii="黑体" w:hAnsi="黑体" w:eastAsia="黑体" w:cs="黑体"/>
          <w:sz w:val="32"/>
          <w:szCs w:val="32"/>
        </w:rPr>
        <w:t>七、监督管理</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（一）</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民政部门要严格做好免除基本殡葬服务费用的组织实施工作，加强绩效管理并完善绩效;</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民政、财政部门每年对殡仪馆进行一次监督检查,发现问题及时纠正。</w:t>
      </w:r>
      <w:r>
        <w:rPr>
          <w:rFonts w:hint="eastAsia" w:ascii="仿宋_GB2312" w:hAnsi="仿宋_GB2312" w:eastAsia="仿宋_GB2312" w:cs="仿宋_GB2312"/>
          <w:sz w:val="32"/>
          <w:szCs w:val="32"/>
        </w:rPr>
        <w:cr/>
      </w:r>
      <w:r>
        <w:rPr>
          <w:rFonts w:hint="eastAsia" w:ascii="仿宋_GB2312" w:hAnsi="仿宋_GB2312" w:eastAsia="仿宋_GB2312" w:cs="仿宋_GB2312"/>
          <w:sz w:val="32"/>
          <w:szCs w:val="32"/>
        </w:rPr>
        <w:t xml:space="preserve">    （二）区殡仪馆具体负责基本殡葬服务费用免除的审核审批工作。对不按规定办理免除费用申请，故意拖延办理、造成不良影响，有玩忽职守、徇私舞弊或弄虚作假套取财政补助资金的殡仪馆及其工作人员，依法追究法律责任。</w:t>
      </w:r>
    </w:p>
    <w:p>
      <w:pPr>
        <w:widowControl/>
        <w:snapToGrid w:val="0"/>
        <w:spacing w:line="576" w:lineRule="exact"/>
        <w:ind w:firstLine="645"/>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逝者遗体由区殡仪馆殡仪服务专用车或通过政府购买服务的殡仪服务机构殡仪服务专用车（经民政、交警、交通部门认证）接运。各殡仪服务专用车驾驶员，不得从事异地接运遗体业务，确因特殊情况需要的，由镇（街道）民政办报区殡仪馆批准后，方可从事异地接运遗体业务。</w:t>
      </w:r>
    </w:p>
    <w:p>
      <w:pPr>
        <w:widowControl/>
        <w:snapToGrid w:val="0"/>
        <w:spacing w:line="576" w:lineRule="exact"/>
        <w:ind w:firstLine="645"/>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（四）申请人采取虚报、隐瞒、伪造等手段，骗取免除费用的，给予批评教育，追回其骗取的减免费用；情节严重的，依法追究法律责任。</w:t>
      </w:r>
    </w:p>
    <w:p>
      <w:pPr>
        <w:widowControl/>
        <w:snapToGrid w:val="0"/>
        <w:spacing w:line="576" w:lineRule="exact"/>
        <w:jc w:val="left"/>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color w:val="auto"/>
          <w:sz w:val="32"/>
          <w:szCs w:val="32"/>
        </w:rPr>
        <w:t>（五）基本殡葬服务项目收费标准按照价格管理部门核定价格计算。因政策调整、市场价格变化等原因，需要调整免除费用标准的，经区发改部门核定收费标准，由区财政、民政部门报区政府批准后执行。</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八、有关要求</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一）提高认识，抓好惠民政策落实。全面推行惠民殡葬政策，为逝者提供遗体接运、存放、火化、骨灰存放等基本殡葬服务，是推进基本殡葬服务均等化的重要举措，各级各有关部门要切实提高思想认识，强化组织领导，加大财政投入，切实把惠民殡葬政策作为保障和改善民生的重要内容，抓实抓好。区民政局、各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要严格按照通知要求，做好免除基本殡葬服务费用宣传工作，组织各村（居）干部和红白理事会成员进行学习并认真抓好贯彻落实。</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二）强化保障，加大惠民殡葬政策的资金支持力度。区民政局、区财政局要将保障群众基本殡葬需求纳入社会保障体系建设总体规划，各镇（街道）提供好惠民殡葬落实便民服务工作，建立健全殡葬公共服务投入和稳定增长机制，将惠民殡葬保障支出列入本级财政预算，足额保障好政策落实所需费用，推动各项惠民殡葬政策顺利实施。</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（三）突出重点，完善基本殡葬服务体系。各级政府要结合经济发展状况和公共财政保障能力，切实做好逝者基本殡葬服务费用的免除工作，健全覆盖全体居民的殡葬公共服务体系。</w:t>
      </w:r>
    </w:p>
    <w:p>
      <w:pPr>
        <w:widowControl/>
        <w:snapToGrid w:val="0"/>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本实施意见自</w:t>
      </w:r>
      <w:r>
        <w:rPr>
          <w:rFonts w:hint="eastAsia" w:ascii="仿宋_GB2312" w:hAnsi="仿宋_GB2312" w:eastAsia="仿宋_GB2312" w:cs="仿宋_GB2312"/>
          <w:sz w:val="32"/>
          <w:szCs w:val="32"/>
          <w:lang w:eastAsia="zh-CN"/>
        </w:rPr>
        <w:t>发布之日</w:t>
      </w:r>
      <w:r>
        <w:rPr>
          <w:rFonts w:hint="eastAsia" w:ascii="仿宋_GB2312" w:hAnsi="仿宋_GB2312" w:eastAsia="仿宋_GB2312" w:cs="仿宋_GB2312"/>
          <w:sz w:val="32"/>
          <w:szCs w:val="32"/>
        </w:rPr>
        <w:t>起施行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有效期至2025年12月31日。本实施意见生效前按《淄博市人民政府办公室&lt;关于进一步完善惠民殡葬政策有关事项的通知&gt;》（淄政办字</w:t>
      </w:r>
      <w:r>
        <w:rPr>
          <w:rFonts w:hint="eastAsia" w:ascii="方正小标宋简体" w:hAnsi="方正小标宋简体" w:eastAsia="方正小标宋简体" w:cs="方正小标宋简体"/>
          <w:sz w:val="32"/>
          <w:szCs w:val="32"/>
          <w:lang w:val="en-US" w:eastAsia="zh-CN"/>
        </w:rPr>
        <w:t>〔</w:t>
      </w:r>
      <w:r>
        <w:rPr>
          <w:rFonts w:hint="eastAsia" w:ascii="仿宋_GB2312" w:hAnsi="仿宋_GB2312" w:eastAsia="仿宋_GB2312" w:cs="仿宋_GB2312"/>
          <w:sz w:val="32"/>
          <w:szCs w:val="32"/>
          <w:lang w:val="en-US" w:eastAsia="zh-CN"/>
        </w:rPr>
        <w:t>2020</w:t>
      </w:r>
      <w:r>
        <w:rPr>
          <w:rFonts w:hint="eastAsia" w:ascii="方正小标宋简体" w:hAnsi="方正小标宋简体" w:eastAsia="方正小标宋简体" w:cs="方正小标宋简体"/>
          <w:sz w:val="32"/>
          <w:szCs w:val="32"/>
          <w:lang w:val="en-US" w:eastAsia="zh-CN"/>
        </w:rPr>
        <w:t>〕</w:t>
      </w:r>
      <w:r>
        <w:rPr>
          <w:rFonts w:hint="eastAsia" w:ascii="仿宋_GB2312" w:hAnsi="仿宋_GB2312" w:eastAsia="仿宋_GB2312" w:cs="仿宋_GB2312"/>
          <w:sz w:val="32"/>
          <w:szCs w:val="32"/>
          <w:lang w:val="en-US" w:eastAsia="zh-CN"/>
        </w:rPr>
        <w:t>116号）执行。</w:t>
      </w:r>
    </w:p>
    <w:p>
      <w:pPr>
        <w:widowControl/>
        <w:snapToGrid w:val="0"/>
        <w:spacing w:line="576" w:lineRule="exact"/>
        <w:ind w:firstLine="640" w:firstLineChars="200"/>
        <w:jc w:val="left"/>
        <w:rPr>
          <w:rFonts w:hint="eastAsia" w:ascii="仿宋_GB2312" w:hAnsi="仿宋_GB2312" w:eastAsia="仿宋_GB2312" w:cs="仿宋_GB2312"/>
          <w:sz w:val="32"/>
          <w:szCs w:val="32"/>
        </w:rPr>
      </w:pPr>
    </w:p>
    <w:p>
      <w:pPr>
        <w:widowControl/>
        <w:snapToGrid w:val="0"/>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博山区免除基本殡葬服务费用申请表 </w:t>
      </w:r>
    </w:p>
    <w:p>
      <w:pPr>
        <w:widowControl/>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博山区免除基本殡葬服务费用汇总表 </w:t>
      </w:r>
    </w:p>
    <w:p>
      <w:pPr>
        <w:widowControl/>
        <w:snapToGrid w:val="0"/>
        <w:spacing w:line="576" w:lineRule="exact"/>
        <w:jc w:val="right"/>
        <w:rPr>
          <w:rFonts w:ascii="仿宋_GB2312" w:hAnsi="仿宋_GB2312" w:eastAsia="仿宋_GB2312" w:cs="仿宋_GB2312"/>
          <w:sz w:val="32"/>
          <w:szCs w:val="32"/>
        </w:rPr>
      </w:pPr>
    </w:p>
    <w:p>
      <w:pPr>
        <w:widowControl/>
        <w:snapToGrid w:val="0"/>
        <w:spacing w:line="576"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widowControl/>
        <w:snapToGrid w:val="0"/>
        <w:spacing w:line="576" w:lineRule="exact"/>
        <w:jc w:val="left"/>
        <w:rPr>
          <w:rFonts w:ascii="仿宋_GB2312" w:hAnsi="仿宋_GB2312" w:eastAsia="仿宋_GB2312" w:cs="仿宋_GB2312"/>
          <w:sz w:val="32"/>
          <w:szCs w:val="32"/>
        </w:rPr>
      </w:pPr>
    </w:p>
    <w:p>
      <w:pPr>
        <w:widowControl/>
        <w:snapToGrid w:val="0"/>
        <w:spacing w:line="576" w:lineRule="exact"/>
        <w:jc w:val="center"/>
        <w:rPr>
          <w:rFonts w:ascii="仿宋_GB2312" w:hAnsi="仿宋_GB2312" w:eastAsia="仿宋_GB2312" w:cs="仿宋_GB2312"/>
          <w:sz w:val="32"/>
          <w:szCs w:val="32"/>
        </w:rPr>
      </w:pPr>
    </w:p>
    <w:p>
      <w:pPr>
        <w:widowControl/>
        <w:snapToGrid w:val="0"/>
        <w:spacing w:line="580" w:lineRule="exact"/>
        <w:jc w:val="center"/>
        <w:rPr>
          <w:rFonts w:ascii="仿宋_GB2312" w:hAnsi="仿宋_GB2312" w:eastAsia="仿宋_GB2312" w:cs="仿宋_GB2312"/>
          <w:sz w:val="32"/>
          <w:szCs w:val="32"/>
        </w:rPr>
      </w:pPr>
      <w:bookmarkStart w:id="0" w:name="_GoBack"/>
      <w:bookmarkEnd w:id="0"/>
    </w:p>
    <w:p>
      <w:pPr>
        <w:widowControl/>
        <w:snapToGrid w:val="0"/>
        <w:spacing w:line="580" w:lineRule="exact"/>
        <w:jc w:val="center"/>
        <w:rPr>
          <w:rFonts w:ascii="仿宋_GB2312" w:hAnsi="仿宋_GB2312" w:eastAsia="仿宋_GB2312" w:cs="仿宋_GB2312"/>
          <w:sz w:val="32"/>
          <w:szCs w:val="32"/>
        </w:rPr>
      </w:pPr>
    </w:p>
    <w:p>
      <w:pPr>
        <w:widowControl/>
        <w:snapToGrid w:val="0"/>
        <w:spacing w:line="580" w:lineRule="exact"/>
        <w:jc w:val="center"/>
        <w:rPr>
          <w:rFonts w:ascii="仿宋_GB2312" w:hAnsi="仿宋_GB2312" w:eastAsia="仿宋_GB2312" w:cs="仿宋_GB2312"/>
          <w:sz w:val="32"/>
          <w:szCs w:val="32"/>
        </w:rPr>
      </w:pPr>
    </w:p>
    <w:p>
      <w:pPr>
        <w:widowControl/>
        <w:snapToGrid w:val="0"/>
        <w:spacing w:line="580" w:lineRule="exact"/>
        <w:jc w:val="center"/>
        <w:rPr>
          <w:rFonts w:ascii="仿宋_GB2312" w:hAnsi="仿宋_GB2312" w:eastAsia="仿宋_GB2312" w:cs="仿宋_GB2312"/>
          <w:sz w:val="32"/>
          <w:szCs w:val="32"/>
        </w:rPr>
      </w:pPr>
    </w:p>
    <w:p>
      <w:pPr>
        <w:widowControl/>
        <w:snapToGrid w:val="0"/>
        <w:spacing w:line="580" w:lineRule="exact"/>
        <w:jc w:val="center"/>
        <w:rPr>
          <w:rFonts w:ascii="仿宋_GB2312" w:hAnsi="仿宋_GB2312" w:eastAsia="仿宋_GB2312" w:cs="仿宋_GB2312"/>
          <w:sz w:val="32"/>
          <w:szCs w:val="32"/>
        </w:rPr>
      </w:pPr>
    </w:p>
    <w:p>
      <w:pPr>
        <w:widowControl/>
        <w:snapToGrid w:val="0"/>
        <w:spacing w:line="580" w:lineRule="exact"/>
        <w:rPr>
          <w:rFonts w:hint="eastAsia" w:ascii="黑体" w:hAnsi="黑体" w:eastAsia="黑体" w:cs="黑体"/>
          <w:kern w:val="0"/>
          <w:sz w:val="32"/>
          <w:szCs w:val="32"/>
        </w:rPr>
      </w:pPr>
    </w:p>
    <w:p>
      <w:pPr>
        <w:widowControl/>
        <w:snapToGrid w:val="0"/>
        <w:spacing w:line="580" w:lineRule="exact"/>
        <w:rPr>
          <w:rFonts w:hint="eastAsia" w:ascii="黑体" w:hAnsi="黑体" w:eastAsia="黑体" w:cs="黑体"/>
          <w:kern w:val="0"/>
          <w:sz w:val="32"/>
          <w:szCs w:val="32"/>
        </w:rPr>
      </w:pPr>
    </w:p>
    <w:p>
      <w:pPr>
        <w:widowControl/>
        <w:snapToGrid w:val="0"/>
        <w:spacing w:line="580" w:lineRule="exact"/>
        <w:rPr>
          <w:rFonts w:hint="eastAsia" w:ascii="黑体" w:hAnsi="黑体" w:eastAsia="黑体" w:cs="黑体"/>
          <w:kern w:val="0"/>
          <w:sz w:val="32"/>
          <w:szCs w:val="32"/>
        </w:rPr>
      </w:pPr>
    </w:p>
    <w:p>
      <w:pPr>
        <w:widowControl/>
        <w:snapToGrid w:val="0"/>
        <w:spacing w:line="580" w:lineRule="exact"/>
        <w:rPr>
          <w:rFonts w:ascii="宋体" w:hAnsi="宋体" w:cs="宋体"/>
          <w:kern w:val="0"/>
          <w:sz w:val="32"/>
          <w:szCs w:val="32"/>
        </w:rPr>
      </w:pPr>
      <w:r>
        <w:rPr>
          <w:rFonts w:hint="eastAsia" w:ascii="黑体" w:hAnsi="黑体" w:eastAsia="黑体" w:cs="黑体"/>
          <w:kern w:val="0"/>
          <w:sz w:val="32"/>
          <w:szCs w:val="32"/>
        </w:rPr>
        <w:t>附件1</w:t>
      </w:r>
    </w:p>
    <w:p>
      <w:pPr>
        <w:widowControl/>
        <w:snapToGrid w:val="0"/>
        <w:spacing w:line="580" w:lineRule="exact"/>
        <w:jc w:val="center"/>
        <w:rPr>
          <w:rFonts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博山区免除基本殡葬服务费用申请表</w:t>
      </w:r>
    </w:p>
    <w:p>
      <w:r>
        <w:rPr>
          <w:rFonts w:hint="eastAsia"/>
        </w:rPr>
        <w:t xml:space="preserve"> </w:t>
      </w:r>
    </w:p>
    <w:p>
      <w:pPr>
        <w:rPr>
          <w:rFonts w:ascii="仿宋_GB2312" w:hAnsi="黑体" w:eastAsia="仿宋_GB2312" w:cs="黑体"/>
          <w:sz w:val="32"/>
          <w:szCs w:val="32"/>
        </w:rPr>
      </w:pPr>
      <w:r>
        <w:rPr>
          <w:rFonts w:hint="eastAsia"/>
        </w:rPr>
        <w:t xml:space="preserve"> </w:t>
      </w:r>
      <w:r>
        <w:rPr>
          <w:rFonts w:hint="eastAsia" w:ascii="仿宋_GB2312" w:eastAsia="仿宋_GB2312"/>
        </w:rPr>
        <w:t>编号：                                               日期：      年    月    日</w:t>
      </w:r>
    </w:p>
    <w:tbl>
      <w:tblPr>
        <w:tblStyle w:val="7"/>
        <w:tblpPr w:leftFromText="180" w:rightFromText="180" w:topFromText="100" w:bottomFromText="100" w:vertAnchor="text" w:horzAnchor="page" w:tblpXSpec="center" w:tblpY="209"/>
        <w:tblOverlap w:val="never"/>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902"/>
        <w:gridCol w:w="962"/>
        <w:gridCol w:w="247"/>
        <w:gridCol w:w="726"/>
        <w:gridCol w:w="415"/>
        <w:gridCol w:w="1212"/>
        <w:gridCol w:w="586"/>
        <w:gridCol w:w="653"/>
        <w:gridCol w:w="813"/>
        <w:gridCol w:w="401"/>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63"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逝者姓名</w:t>
            </w:r>
          </w:p>
        </w:tc>
        <w:tc>
          <w:tcPr>
            <w:tcW w:w="2111" w:type="dxa"/>
            <w:gridSpan w:val="3"/>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14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Cs w:val="21"/>
              </w:rPr>
            </w:pPr>
            <w:r>
              <w:rPr>
                <w:rFonts w:hint="eastAsia" w:ascii="仿宋_GB2312" w:hAnsi="宋体" w:eastAsia="仿宋_GB2312" w:cs="宋体"/>
                <w:kern w:val="0"/>
                <w:szCs w:val="21"/>
              </w:rPr>
              <w:t>户籍</w:t>
            </w:r>
          </w:p>
          <w:p>
            <w:pPr>
              <w:widowControl/>
              <w:spacing w:line="400" w:lineRule="exact"/>
              <w:jc w:val="center"/>
              <w:rPr>
                <w:rFonts w:ascii="仿宋_GB2312" w:hAnsi="宋体" w:eastAsia="仿宋_GB2312" w:cs="宋体"/>
                <w:kern w:val="0"/>
                <w:szCs w:val="21"/>
              </w:rPr>
            </w:pPr>
            <w:r>
              <w:rPr>
                <w:rFonts w:hint="eastAsia" w:ascii="仿宋_GB2312" w:hAnsi="宋体" w:eastAsia="仿宋_GB2312" w:cs="宋体"/>
                <w:kern w:val="0"/>
                <w:szCs w:val="21"/>
              </w:rPr>
              <w:t>地址</w:t>
            </w:r>
          </w:p>
        </w:tc>
        <w:tc>
          <w:tcPr>
            <w:tcW w:w="2451"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813"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工作单位</w:t>
            </w:r>
          </w:p>
        </w:tc>
        <w:tc>
          <w:tcPr>
            <w:tcW w:w="1238"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163"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年  龄</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性别</w:t>
            </w:r>
          </w:p>
        </w:tc>
        <w:tc>
          <w:tcPr>
            <w:tcW w:w="114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2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Cs w:val="21"/>
              </w:rPr>
            </w:pPr>
            <w:r>
              <w:rPr>
                <w:rFonts w:hint="eastAsia" w:ascii="仿宋_GB2312" w:hAnsi="宋体" w:eastAsia="仿宋_GB2312" w:cs="宋体"/>
                <w:kern w:val="0"/>
                <w:szCs w:val="21"/>
              </w:rPr>
              <w:t>身份</w:t>
            </w:r>
          </w:p>
          <w:p>
            <w:pPr>
              <w:widowControl/>
              <w:spacing w:line="400" w:lineRule="exact"/>
              <w:jc w:val="center"/>
              <w:rPr>
                <w:rFonts w:ascii="仿宋_GB2312" w:hAnsi="宋体" w:eastAsia="仿宋_GB2312" w:cs="宋体"/>
                <w:kern w:val="0"/>
                <w:szCs w:val="21"/>
              </w:rPr>
            </w:pPr>
            <w:r>
              <w:rPr>
                <w:rFonts w:hint="eastAsia" w:ascii="仿宋_GB2312" w:hAnsi="宋体" w:eastAsia="仿宋_GB2312" w:cs="宋体"/>
                <w:kern w:val="0"/>
                <w:szCs w:val="21"/>
              </w:rPr>
              <w:t>证号</w:t>
            </w:r>
          </w:p>
        </w:tc>
        <w:tc>
          <w:tcPr>
            <w:tcW w:w="3290" w:type="dxa"/>
            <w:gridSpan w:val="5"/>
            <w:tcBorders>
              <w:top w:val="single" w:color="auto" w:sz="4" w:space="0"/>
              <w:left w:val="single" w:color="auto" w:sz="4" w:space="0"/>
              <w:bottom w:val="single" w:color="auto" w:sz="4" w:space="0"/>
              <w:right w:val="single" w:color="auto" w:sz="4" w:space="0"/>
            </w:tcBorders>
            <w:vAlign w:val="center"/>
          </w:tcPr>
          <w:p>
            <w:pPr>
              <w:widowControl/>
              <w:spacing w:line="440" w:lineRule="exact"/>
              <w:ind w:left="15747"/>
              <w:jc w:val="center"/>
              <w:rPr>
                <w:rFonts w:ascii="仿宋_GB2312" w:hAnsi="宋体" w:eastAsia="仿宋_GB2312" w:cs="宋体"/>
                <w:kern w:val="0"/>
                <w:szCs w:val="21"/>
              </w:rPr>
            </w:pPr>
            <w:r>
              <w:rPr>
                <w:rFonts w:hint="eastAsia" w:ascii="仿宋_GB2312" w:hAnsi="宋体" w:eastAsia="仿宋_GB2312"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163"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免除项目</w:t>
            </w:r>
          </w:p>
        </w:tc>
        <w:tc>
          <w:tcPr>
            <w:tcW w:w="211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遗体接运</w:t>
            </w:r>
          </w:p>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r>
              <w:rPr>
                <w:rFonts w:hint="eastAsia" w:ascii="仿宋_GB2312" w:hAnsi="宋体" w:eastAsia="仿宋_GB2312" w:cs="宋体"/>
                <w:spacing w:val="-22"/>
                <w:kern w:val="0"/>
                <w:szCs w:val="21"/>
              </w:rPr>
              <w:t>含抬尸、验尸消毒</w:t>
            </w:r>
            <w:r>
              <w:rPr>
                <w:rFonts w:hint="eastAsia" w:ascii="仿宋_GB2312" w:hAnsi="宋体" w:eastAsia="仿宋_GB2312" w:cs="宋体"/>
                <w:kern w:val="0"/>
                <w:szCs w:val="21"/>
              </w:rPr>
              <w:t>）</w:t>
            </w:r>
          </w:p>
        </w:tc>
        <w:tc>
          <w:tcPr>
            <w:tcW w:w="114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冷藏</w:t>
            </w:r>
          </w:p>
        </w:tc>
        <w:tc>
          <w:tcPr>
            <w:tcW w:w="1212"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遗体火化</w:t>
            </w:r>
          </w:p>
        </w:tc>
        <w:tc>
          <w:tcPr>
            <w:tcW w:w="1239"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骨灰寄存</w:t>
            </w:r>
          </w:p>
        </w:tc>
        <w:tc>
          <w:tcPr>
            <w:tcW w:w="121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Cs w:val="21"/>
              </w:rPr>
            </w:pPr>
            <w:r>
              <w:rPr>
                <w:rFonts w:hint="eastAsia" w:ascii="仿宋_GB2312" w:hAnsi="宋体" w:eastAsia="仿宋_GB2312" w:cs="宋体"/>
                <w:kern w:val="0"/>
                <w:szCs w:val="21"/>
              </w:rPr>
              <w:t>骨灰盒</w:t>
            </w:r>
          </w:p>
        </w:tc>
        <w:tc>
          <w:tcPr>
            <w:tcW w:w="8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63"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免除金额</w:t>
            </w:r>
          </w:p>
        </w:tc>
        <w:tc>
          <w:tcPr>
            <w:tcW w:w="2111" w:type="dxa"/>
            <w:gridSpan w:val="3"/>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141"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p>
        </w:tc>
        <w:tc>
          <w:tcPr>
            <w:tcW w:w="1212"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239"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1214"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8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163"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免除金额</w:t>
            </w:r>
          </w:p>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（大写）</w:t>
            </w:r>
          </w:p>
        </w:tc>
        <w:tc>
          <w:tcPr>
            <w:tcW w:w="7754" w:type="dxa"/>
            <w:gridSpan w:val="11"/>
            <w:tcBorders>
              <w:top w:val="single" w:color="auto" w:sz="4" w:space="0"/>
              <w:left w:val="single" w:color="auto" w:sz="4" w:space="0"/>
              <w:bottom w:val="single" w:color="auto" w:sz="4" w:space="0"/>
              <w:right w:val="single" w:color="auto" w:sz="6" w:space="0"/>
            </w:tcBorders>
            <w:vAlign w:val="center"/>
          </w:tcPr>
          <w:p>
            <w:pPr>
              <w:widowControl/>
              <w:spacing w:line="44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16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丧  事</w:t>
            </w:r>
          </w:p>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经办人</w:t>
            </w:r>
          </w:p>
        </w:tc>
        <w:tc>
          <w:tcPr>
            <w:tcW w:w="1864"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姓  名</w:t>
            </w:r>
          </w:p>
        </w:tc>
        <w:tc>
          <w:tcPr>
            <w:tcW w:w="5890" w:type="dxa"/>
            <w:gridSpan w:val="9"/>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身  份  证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1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864"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p>
        </w:tc>
        <w:tc>
          <w:tcPr>
            <w:tcW w:w="5890" w:type="dxa"/>
            <w:gridSpan w:val="9"/>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864"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与逝者关系</w:t>
            </w:r>
          </w:p>
        </w:tc>
        <w:tc>
          <w:tcPr>
            <w:tcW w:w="3186" w:type="dxa"/>
            <w:gridSpan w:val="5"/>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联 系 电 话</w:t>
            </w:r>
          </w:p>
        </w:tc>
        <w:tc>
          <w:tcPr>
            <w:tcW w:w="2704" w:type="dxa"/>
            <w:gridSpan w:val="4"/>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1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1864" w:type="dxa"/>
            <w:gridSpan w:val="2"/>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p>
        </w:tc>
        <w:tc>
          <w:tcPr>
            <w:tcW w:w="3186" w:type="dxa"/>
            <w:gridSpan w:val="5"/>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p>
        </w:tc>
        <w:tc>
          <w:tcPr>
            <w:tcW w:w="2704" w:type="dxa"/>
            <w:gridSpan w:val="4"/>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trPr>
        <w:tc>
          <w:tcPr>
            <w:tcW w:w="1163"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殡仪馆</w:t>
            </w:r>
          </w:p>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经办人</w:t>
            </w:r>
          </w:p>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2837" w:type="dxa"/>
            <w:gridSpan w:val="4"/>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630" w:firstLineChars="300"/>
              <w:rPr>
                <w:rFonts w:ascii="仿宋_GB2312" w:hAnsi="宋体" w:eastAsia="仿宋_GB2312" w:cs="宋体"/>
                <w:kern w:val="0"/>
                <w:szCs w:val="21"/>
              </w:rPr>
            </w:pPr>
            <w:r>
              <w:rPr>
                <w:rFonts w:hint="eastAsia" w:ascii="仿宋_GB2312" w:hAnsi="宋体" w:eastAsia="仿宋_GB2312" w:cs="宋体"/>
                <w:kern w:val="0"/>
                <w:szCs w:val="21"/>
              </w:rPr>
              <w:t> </w:t>
            </w:r>
          </w:p>
          <w:p>
            <w:pPr>
              <w:widowControl/>
              <w:spacing w:line="440" w:lineRule="exact"/>
              <w:ind w:firstLine="630" w:firstLineChars="300"/>
              <w:rPr>
                <w:rFonts w:ascii="仿宋_GB2312" w:hAnsi="宋体" w:eastAsia="仿宋_GB2312" w:cs="宋体"/>
                <w:kern w:val="0"/>
                <w:szCs w:val="21"/>
              </w:rPr>
            </w:pPr>
            <w:r>
              <w:rPr>
                <w:rFonts w:hint="eastAsia" w:ascii="仿宋_GB2312" w:hAnsi="宋体" w:eastAsia="仿宋_GB2312" w:cs="宋体"/>
                <w:kern w:val="0"/>
                <w:szCs w:val="21"/>
              </w:rPr>
              <w:t> </w:t>
            </w:r>
          </w:p>
          <w:p>
            <w:pPr>
              <w:widowControl/>
              <w:spacing w:line="440" w:lineRule="exact"/>
              <w:ind w:firstLine="630" w:firstLineChars="300"/>
              <w:rPr>
                <w:rFonts w:ascii="仿宋_GB2312" w:hAnsi="宋体" w:eastAsia="仿宋_GB2312" w:cs="宋体"/>
                <w:kern w:val="0"/>
                <w:szCs w:val="21"/>
              </w:rPr>
            </w:pPr>
            <w:r>
              <w:rPr>
                <w:rFonts w:hint="eastAsia" w:ascii="仿宋_GB2312" w:hAnsi="宋体" w:eastAsia="仿宋_GB2312" w:cs="宋体"/>
                <w:kern w:val="0"/>
                <w:szCs w:val="21"/>
              </w:rPr>
              <w:t xml:space="preserve"> </w:t>
            </w:r>
          </w:p>
          <w:p>
            <w:pPr>
              <w:widowControl/>
              <w:spacing w:line="440" w:lineRule="exact"/>
              <w:ind w:firstLine="945" w:firstLineChars="450"/>
              <w:rPr>
                <w:rFonts w:ascii="仿宋_GB2312" w:hAnsi="宋体" w:eastAsia="仿宋_GB2312" w:cs="宋体"/>
                <w:kern w:val="0"/>
                <w:szCs w:val="21"/>
              </w:rPr>
            </w:pPr>
            <w:r>
              <w:rPr>
                <w:rFonts w:hint="eastAsia" w:ascii="仿宋_GB2312" w:hAnsi="宋体" w:eastAsia="仿宋_GB2312" w:cs="宋体"/>
                <w:kern w:val="0"/>
                <w:szCs w:val="21"/>
              </w:rPr>
              <w:t>（签字）</w:t>
            </w:r>
          </w:p>
          <w:p>
            <w:pPr>
              <w:widowControl/>
              <w:spacing w:line="440" w:lineRule="exact"/>
              <w:ind w:firstLine="630" w:firstLineChars="300"/>
              <w:rPr>
                <w:rFonts w:ascii="仿宋_GB2312" w:hAnsi="宋体" w:eastAsia="仿宋_GB2312" w:cs="宋体"/>
                <w:kern w:val="0"/>
                <w:szCs w:val="21"/>
              </w:rPr>
            </w:pPr>
            <w:r>
              <w:rPr>
                <w:rFonts w:hint="eastAsia" w:ascii="仿宋_GB2312" w:hAnsi="宋体" w:eastAsia="仿宋_GB2312" w:cs="宋体"/>
                <w:kern w:val="0"/>
                <w:szCs w:val="21"/>
              </w:rPr>
              <w:t>年   月   日</w:t>
            </w:r>
          </w:p>
        </w:tc>
        <w:tc>
          <w:tcPr>
            <w:tcW w:w="2213" w:type="dxa"/>
            <w:gridSpan w:val="3"/>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p>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殡 仪 馆</w:t>
            </w:r>
          </w:p>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审核意见</w:t>
            </w:r>
          </w:p>
          <w:p>
            <w:pPr>
              <w:widowControl/>
              <w:spacing w:line="440" w:lineRule="exact"/>
              <w:jc w:val="center"/>
              <w:rPr>
                <w:rFonts w:ascii="仿宋_GB2312" w:hAnsi="宋体" w:eastAsia="仿宋_GB2312" w:cs="宋体"/>
                <w:kern w:val="0"/>
                <w:szCs w:val="21"/>
              </w:rPr>
            </w:pPr>
          </w:p>
        </w:tc>
        <w:tc>
          <w:tcPr>
            <w:tcW w:w="2704" w:type="dxa"/>
            <w:gridSpan w:val="4"/>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630" w:firstLineChars="300"/>
              <w:jc w:val="left"/>
              <w:rPr>
                <w:rFonts w:ascii="仿宋_GB2312" w:hAnsi="宋体" w:eastAsia="仿宋_GB2312" w:cs="宋体"/>
                <w:kern w:val="0"/>
                <w:szCs w:val="21"/>
              </w:rPr>
            </w:pPr>
            <w:r>
              <w:rPr>
                <w:rFonts w:hint="eastAsia" w:ascii="仿宋_GB2312" w:hAnsi="宋体" w:eastAsia="仿宋_GB2312" w:cs="宋体"/>
                <w:kern w:val="0"/>
                <w:szCs w:val="21"/>
              </w:rPr>
              <w:t> </w:t>
            </w:r>
          </w:p>
          <w:p>
            <w:pPr>
              <w:widowControl/>
              <w:spacing w:line="440" w:lineRule="exact"/>
              <w:ind w:firstLine="630" w:firstLineChars="300"/>
              <w:jc w:val="left"/>
              <w:rPr>
                <w:rFonts w:ascii="仿宋_GB2312" w:hAnsi="宋体" w:eastAsia="仿宋_GB2312" w:cs="宋体"/>
                <w:kern w:val="0"/>
                <w:szCs w:val="21"/>
              </w:rPr>
            </w:pPr>
            <w:r>
              <w:rPr>
                <w:rFonts w:hint="eastAsia" w:ascii="仿宋_GB2312" w:hAnsi="宋体" w:eastAsia="仿宋_GB2312" w:cs="宋体"/>
                <w:kern w:val="0"/>
                <w:szCs w:val="21"/>
              </w:rPr>
              <w:t> </w:t>
            </w:r>
          </w:p>
          <w:p>
            <w:pPr>
              <w:widowControl/>
              <w:spacing w:line="440" w:lineRule="exact"/>
              <w:ind w:firstLine="735" w:firstLineChars="350"/>
              <w:jc w:val="left"/>
              <w:rPr>
                <w:rFonts w:ascii="仿宋_GB2312" w:hAnsi="宋体" w:eastAsia="仿宋_GB2312" w:cs="宋体"/>
                <w:kern w:val="0"/>
                <w:szCs w:val="21"/>
              </w:rPr>
            </w:pPr>
            <w:r>
              <w:rPr>
                <w:rFonts w:hint="eastAsia" w:ascii="仿宋_GB2312" w:hAnsi="宋体" w:eastAsia="仿宋_GB2312" w:cs="宋体"/>
                <w:kern w:val="0"/>
                <w:szCs w:val="21"/>
              </w:rPr>
              <w:t>（公章）</w:t>
            </w:r>
          </w:p>
          <w:p>
            <w:pPr>
              <w:widowControl/>
              <w:spacing w:line="440" w:lineRule="exact"/>
              <w:ind w:firstLine="630" w:firstLineChars="300"/>
              <w:jc w:val="left"/>
              <w:rPr>
                <w:rFonts w:ascii="仿宋_GB2312" w:hAnsi="宋体" w:eastAsia="仿宋_GB2312" w:cs="宋体"/>
                <w:kern w:val="0"/>
                <w:szCs w:val="21"/>
              </w:rPr>
            </w:pPr>
          </w:p>
          <w:p>
            <w:pPr>
              <w:widowControl/>
              <w:spacing w:line="440" w:lineRule="exact"/>
              <w:ind w:firstLine="630" w:firstLineChars="300"/>
              <w:jc w:val="left"/>
              <w:rPr>
                <w:rFonts w:ascii="仿宋_GB2312" w:hAnsi="宋体" w:eastAsia="仿宋_GB2312" w:cs="宋体"/>
                <w:kern w:val="0"/>
                <w:szCs w:val="21"/>
              </w:rPr>
            </w:pPr>
            <w:r>
              <w:rPr>
                <w:rFonts w:hint="eastAsia" w:ascii="仿宋_GB2312" w:hAnsi="宋体" w:eastAsia="仿宋_GB2312" w:cs="宋体"/>
                <w:kern w:val="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1163"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仿宋_GB2312" w:hAnsi="宋体" w:eastAsia="仿宋_GB2312" w:cs="宋体"/>
                <w:kern w:val="0"/>
                <w:szCs w:val="21"/>
              </w:rPr>
            </w:pPr>
            <w:r>
              <w:rPr>
                <w:rFonts w:hint="eastAsia" w:ascii="仿宋_GB2312" w:hAnsi="宋体" w:eastAsia="仿宋_GB2312" w:cs="宋体"/>
                <w:kern w:val="0"/>
                <w:szCs w:val="21"/>
              </w:rPr>
              <w:t>说 明</w:t>
            </w:r>
          </w:p>
        </w:tc>
        <w:tc>
          <w:tcPr>
            <w:tcW w:w="7754" w:type="dxa"/>
            <w:gridSpan w:val="11"/>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ascii="仿宋_GB2312" w:hAnsi="宋体" w:eastAsia="仿宋_GB2312" w:cs="宋体"/>
                <w:kern w:val="0"/>
                <w:szCs w:val="21"/>
              </w:rPr>
            </w:pPr>
            <w:r>
              <w:rPr>
                <w:rFonts w:hint="eastAsia" w:ascii="仿宋_GB2312" w:hAnsi="宋体" w:eastAsia="仿宋_GB2312" w:cs="宋体"/>
                <w:kern w:val="0"/>
                <w:szCs w:val="21"/>
              </w:rPr>
              <w:t>1.此表由殡仪馆据实填写，经办人签字，弄虚作假者追回费用，并追究责任。</w:t>
            </w:r>
          </w:p>
          <w:p>
            <w:pPr>
              <w:widowControl/>
              <w:spacing w:line="440" w:lineRule="exact"/>
              <w:jc w:val="left"/>
              <w:rPr>
                <w:rFonts w:ascii="仿宋_GB2312" w:hAnsi="宋体" w:eastAsia="仿宋_GB2312" w:cs="宋体"/>
                <w:kern w:val="0"/>
                <w:szCs w:val="21"/>
              </w:rPr>
            </w:pPr>
            <w:r>
              <w:rPr>
                <w:rFonts w:hint="eastAsia" w:ascii="仿宋_GB2312" w:hAnsi="宋体" w:eastAsia="仿宋_GB2312" w:cs="宋体"/>
                <w:kern w:val="0"/>
                <w:szCs w:val="21"/>
              </w:rPr>
              <w:t>2.未发生的免除项目不折现、不折抵。</w:t>
            </w:r>
          </w:p>
          <w:p>
            <w:pPr>
              <w:widowControl/>
              <w:spacing w:line="440" w:lineRule="exact"/>
              <w:jc w:val="left"/>
              <w:rPr>
                <w:rFonts w:ascii="仿宋_GB2312" w:hAnsi="宋体" w:eastAsia="仿宋_GB2312" w:cs="宋体"/>
                <w:kern w:val="0"/>
                <w:szCs w:val="21"/>
              </w:rPr>
            </w:pPr>
            <w:r>
              <w:rPr>
                <w:rFonts w:hint="eastAsia" w:ascii="仿宋_GB2312" w:hAnsi="宋体" w:eastAsia="仿宋_GB2312" w:cs="宋体"/>
                <w:kern w:val="0"/>
                <w:szCs w:val="21"/>
              </w:rPr>
              <w:t>3.此表一式三份，殡仪馆存档、民政审核、申请财政资金各一份。</w:t>
            </w:r>
          </w:p>
        </w:tc>
      </w:tr>
    </w:tbl>
    <w:p>
      <w:pPr>
        <w:rPr>
          <w:rFonts w:ascii="黑体" w:hAnsi="黑体" w:eastAsia="黑体" w:cs="黑体"/>
          <w:sz w:val="32"/>
          <w:szCs w:val="32"/>
        </w:rPr>
      </w:pPr>
    </w:p>
    <w:p>
      <w:pPr>
        <w:sectPr>
          <w:footerReference r:id="rId3" w:type="default"/>
          <w:footerReference r:id="rId4" w:type="even"/>
          <w:pgSz w:w="11906" w:h="16838"/>
          <w:pgMar w:top="2098" w:right="1474" w:bottom="1984" w:left="1587" w:header="851" w:footer="992" w:gutter="0"/>
          <w:cols w:space="425" w:num="1"/>
          <w:docGrid w:type="lines" w:linePitch="312" w:charSpace="0"/>
        </w:sectPr>
      </w:pPr>
    </w:p>
    <w:p>
      <w:pPr>
        <w:widowControl/>
        <w:snapToGrid w:val="0"/>
        <w:spacing w:line="360" w:lineRule="auto"/>
        <w:rPr>
          <w:sz w:val="32"/>
          <w:szCs w:val="32"/>
        </w:rPr>
      </w:pPr>
      <w:r>
        <w:rPr>
          <w:rFonts w:hint="eastAsia" w:ascii="黑体" w:hAnsi="黑体" w:eastAsia="黑体" w:cs="黑体"/>
          <w:sz w:val="32"/>
          <w:szCs w:val="32"/>
        </w:rPr>
        <w:t>附件2</w:t>
      </w:r>
    </w:p>
    <w:p>
      <w:pPr>
        <w:widowControl/>
        <w:snapToGrid w:val="0"/>
        <w:jc w:val="center"/>
        <w:rPr>
          <w:rFonts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博山区免除基本殡葬服务费用汇总表</w:t>
      </w:r>
    </w:p>
    <w:p>
      <w:pPr>
        <w:widowControl/>
        <w:snapToGrid w:val="0"/>
        <w:jc w:val="center"/>
        <w:rPr>
          <w:rFonts w:ascii="宋体" w:hAnsi="宋体" w:eastAsia="宋体" w:cs="宋体"/>
          <w:kern w:val="0"/>
          <w:sz w:val="24"/>
        </w:rPr>
      </w:pPr>
      <w:r>
        <w:rPr>
          <w:rFonts w:hint="eastAsia" w:ascii="宋体" w:hAnsi="宋体" w:eastAsia="宋体" w:cs="宋体"/>
          <w:kern w:val="0"/>
          <w:sz w:val="24"/>
        </w:rPr>
        <w:t>（      年    月    日至      年    月    日）</w:t>
      </w:r>
    </w:p>
    <w:p>
      <w:pPr>
        <w:widowControl/>
        <w:snapToGrid w:val="0"/>
        <w:jc w:val="center"/>
        <w:rPr>
          <w:rFonts w:ascii="宋体" w:hAnsi="宋体" w:eastAsia="宋体" w:cs="宋体"/>
          <w:kern w:val="0"/>
          <w:sz w:val="24"/>
        </w:rPr>
      </w:pPr>
    </w:p>
    <w:tbl>
      <w:tblPr>
        <w:tblStyle w:val="7"/>
        <w:tblW w:w="0" w:type="auto"/>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750"/>
        <w:gridCol w:w="418"/>
        <w:gridCol w:w="167"/>
        <w:gridCol w:w="1575"/>
        <w:gridCol w:w="1138"/>
        <w:gridCol w:w="900"/>
        <w:gridCol w:w="1539"/>
        <w:gridCol w:w="776"/>
        <w:gridCol w:w="726"/>
        <w:gridCol w:w="1320"/>
        <w:gridCol w:w="975"/>
        <w:gridCol w:w="855"/>
        <w:gridCol w:w="1350"/>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5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序号</w:t>
            </w:r>
          </w:p>
        </w:tc>
        <w:tc>
          <w:tcPr>
            <w:tcW w:w="75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逝者姓名</w:t>
            </w:r>
          </w:p>
        </w:tc>
        <w:tc>
          <w:tcPr>
            <w:tcW w:w="58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性别</w:t>
            </w:r>
          </w:p>
        </w:tc>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身份证号</w:t>
            </w:r>
          </w:p>
        </w:tc>
        <w:tc>
          <w:tcPr>
            <w:tcW w:w="113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人员类别代码</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ind w:right="55" w:rightChars="26"/>
              <w:jc w:val="center"/>
              <w:rPr>
                <w:rFonts w:ascii="宋体" w:hAnsi="宋体" w:eastAsia="宋体" w:cs="宋体"/>
                <w:kern w:val="0"/>
                <w:szCs w:val="21"/>
              </w:rPr>
            </w:pPr>
            <w:r>
              <w:rPr>
                <w:rFonts w:hint="eastAsia" w:ascii="宋体" w:hAnsi="宋体" w:eastAsia="宋体" w:cs="宋体"/>
                <w:kern w:val="0"/>
                <w:szCs w:val="21"/>
              </w:rPr>
              <w:t>火化日期</w:t>
            </w:r>
          </w:p>
        </w:tc>
        <w:tc>
          <w:tcPr>
            <w:tcW w:w="6191" w:type="dxa"/>
            <w:gridSpan w:val="6"/>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免除项目及金额</w:t>
            </w:r>
          </w:p>
        </w:tc>
        <w:tc>
          <w:tcPr>
            <w:tcW w:w="135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审请表编号</w:t>
            </w:r>
          </w:p>
        </w:tc>
        <w:tc>
          <w:tcPr>
            <w:tcW w:w="94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58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13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5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接运（含抬尸、验尸消毒）</w:t>
            </w:r>
          </w:p>
        </w:tc>
        <w:tc>
          <w:tcPr>
            <w:tcW w:w="7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冷藏</w:t>
            </w:r>
          </w:p>
        </w:tc>
        <w:tc>
          <w:tcPr>
            <w:tcW w:w="72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火化</w:t>
            </w:r>
          </w:p>
        </w:tc>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骨灰寄存</w:t>
            </w: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骨灰盒</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合计</w:t>
            </w:r>
          </w:p>
        </w:tc>
        <w:tc>
          <w:tcPr>
            <w:tcW w:w="13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9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5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585" w:type="dxa"/>
            <w:gridSpan w:val="2"/>
            <w:tcBorders>
              <w:top w:val="single" w:color="auto" w:sz="4" w:space="0"/>
              <w:left w:val="single" w:color="auto" w:sz="4" w:space="0"/>
              <w:bottom w:val="single" w:color="auto" w:sz="4" w:space="0"/>
              <w:right w:val="single" w:color="auto" w:sz="4" w:space="0"/>
            </w:tcBorders>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 </w:t>
            </w:r>
          </w:p>
        </w:tc>
        <w:tc>
          <w:tcPr>
            <w:tcW w:w="1575"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eastAsia="宋体" w:cs="宋体"/>
                <w:kern w:val="0"/>
                <w:szCs w:val="21"/>
              </w:rPr>
            </w:pPr>
            <w:r>
              <w:rPr>
                <w:rFonts w:hint="eastAsia" w:ascii="宋体" w:hAnsi="宋体" w:eastAsia="宋体" w:cs="宋体"/>
                <w:kern w:val="0"/>
                <w:szCs w:val="21"/>
              </w:rPr>
              <w:t> </w:t>
            </w:r>
          </w:p>
        </w:tc>
        <w:tc>
          <w:tcPr>
            <w:tcW w:w="1138"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90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539"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76"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26"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p>
        </w:tc>
        <w:tc>
          <w:tcPr>
            <w:tcW w:w="132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97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p>
        </w:tc>
        <w:tc>
          <w:tcPr>
            <w:tcW w:w="85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p>
        </w:tc>
        <w:tc>
          <w:tcPr>
            <w:tcW w:w="135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p>
        </w:tc>
        <w:tc>
          <w:tcPr>
            <w:tcW w:w="94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5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585" w:type="dxa"/>
            <w:gridSpan w:val="2"/>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57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138"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90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539"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76"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26"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p>
        </w:tc>
        <w:tc>
          <w:tcPr>
            <w:tcW w:w="132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97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85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35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94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5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585" w:type="dxa"/>
            <w:gridSpan w:val="2"/>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57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138"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90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539"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76"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726"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p>
        </w:tc>
        <w:tc>
          <w:tcPr>
            <w:tcW w:w="132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97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85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1350"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c>
          <w:tcPr>
            <w:tcW w:w="945" w:type="dxa"/>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503" w:type="dxa"/>
            <w:gridSpan w:val="7"/>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宋体" w:hAnsi="宋体" w:eastAsia="宋体" w:cs="宋体"/>
                <w:kern w:val="0"/>
                <w:szCs w:val="21"/>
              </w:rPr>
            </w:pPr>
            <w:r>
              <w:rPr>
                <w:rFonts w:hint="eastAsia" w:ascii="宋体" w:hAnsi="宋体" w:eastAsia="宋体" w:cs="宋体"/>
                <w:kern w:val="0"/>
                <w:szCs w:val="21"/>
              </w:rPr>
              <w:t>免  除  金  额  合  计</w:t>
            </w:r>
          </w:p>
        </w:tc>
        <w:tc>
          <w:tcPr>
            <w:tcW w:w="1539" w:type="dxa"/>
            <w:tcBorders>
              <w:top w:val="single" w:color="auto" w:sz="4" w:space="0"/>
              <w:left w:val="single" w:color="auto" w:sz="4" w:space="0"/>
              <w:bottom w:val="single" w:color="auto" w:sz="4" w:space="0"/>
              <w:right w:val="single" w:color="auto" w:sz="4" w:space="0"/>
            </w:tcBorders>
          </w:tcPr>
          <w:p>
            <w:pPr>
              <w:widowControl/>
              <w:spacing w:line="340" w:lineRule="exact"/>
              <w:jc w:val="left"/>
              <w:rPr>
                <w:rFonts w:ascii="宋体" w:hAnsi="宋体" w:eastAsia="宋体" w:cs="宋体"/>
                <w:kern w:val="0"/>
                <w:szCs w:val="21"/>
              </w:rPr>
            </w:pPr>
            <w:r>
              <w:rPr>
                <w:rFonts w:hint="eastAsia" w:ascii="宋体" w:hAnsi="宋体" w:eastAsia="宋体" w:cs="宋体"/>
                <w:kern w:val="0"/>
                <w:szCs w:val="21"/>
              </w:rPr>
              <w:t> </w:t>
            </w:r>
          </w:p>
        </w:tc>
        <w:tc>
          <w:tcPr>
            <w:tcW w:w="776" w:type="dxa"/>
            <w:tcBorders>
              <w:top w:val="single" w:color="auto" w:sz="4" w:space="0"/>
              <w:left w:val="single" w:color="auto" w:sz="4" w:space="0"/>
              <w:bottom w:val="single" w:color="auto" w:sz="4" w:space="0"/>
              <w:right w:val="single" w:color="auto" w:sz="4" w:space="0"/>
            </w:tcBorders>
          </w:tcPr>
          <w:p>
            <w:pPr>
              <w:widowControl/>
              <w:spacing w:line="340" w:lineRule="exact"/>
              <w:jc w:val="left"/>
              <w:rPr>
                <w:rFonts w:ascii="宋体" w:hAnsi="宋体" w:eastAsia="宋体" w:cs="宋体"/>
                <w:kern w:val="0"/>
                <w:szCs w:val="21"/>
              </w:rPr>
            </w:pPr>
            <w:r>
              <w:rPr>
                <w:rFonts w:hint="eastAsia" w:ascii="宋体" w:hAnsi="宋体" w:eastAsia="宋体" w:cs="宋体"/>
                <w:kern w:val="0"/>
                <w:szCs w:val="21"/>
              </w:rPr>
              <w:t> </w:t>
            </w:r>
          </w:p>
        </w:tc>
        <w:tc>
          <w:tcPr>
            <w:tcW w:w="726" w:type="dxa"/>
            <w:tcBorders>
              <w:top w:val="single" w:color="auto" w:sz="4" w:space="0"/>
              <w:left w:val="single" w:color="auto" w:sz="4" w:space="0"/>
              <w:bottom w:val="single" w:color="auto" w:sz="4" w:space="0"/>
              <w:right w:val="single" w:color="auto" w:sz="4" w:space="0"/>
            </w:tcBorders>
          </w:tcPr>
          <w:p>
            <w:pPr>
              <w:widowControl/>
              <w:spacing w:line="340" w:lineRule="exact"/>
              <w:jc w:val="left"/>
              <w:rPr>
                <w:rFonts w:ascii="宋体" w:hAnsi="宋体" w:eastAsia="宋体" w:cs="宋体"/>
                <w:kern w:val="0"/>
                <w:szCs w:val="21"/>
              </w:rPr>
            </w:pPr>
          </w:p>
        </w:tc>
        <w:tc>
          <w:tcPr>
            <w:tcW w:w="1320" w:type="dxa"/>
            <w:tcBorders>
              <w:top w:val="single" w:color="auto" w:sz="4" w:space="0"/>
              <w:left w:val="single" w:color="auto" w:sz="4" w:space="0"/>
              <w:bottom w:val="single" w:color="auto" w:sz="4" w:space="0"/>
              <w:right w:val="single" w:color="auto" w:sz="4" w:space="0"/>
            </w:tcBorders>
          </w:tcPr>
          <w:p>
            <w:pPr>
              <w:widowControl/>
              <w:spacing w:line="340" w:lineRule="exact"/>
              <w:jc w:val="left"/>
              <w:rPr>
                <w:rFonts w:ascii="宋体" w:hAnsi="宋体" w:eastAsia="宋体" w:cs="宋体"/>
                <w:kern w:val="0"/>
                <w:szCs w:val="21"/>
              </w:rPr>
            </w:pPr>
            <w:r>
              <w:rPr>
                <w:rFonts w:hint="eastAsia" w:ascii="宋体" w:hAnsi="宋体" w:eastAsia="宋体" w:cs="宋体"/>
                <w:kern w:val="0"/>
                <w:szCs w:val="21"/>
              </w:rPr>
              <w:t> </w:t>
            </w:r>
          </w:p>
        </w:tc>
        <w:tc>
          <w:tcPr>
            <w:tcW w:w="975" w:type="dxa"/>
            <w:tcBorders>
              <w:top w:val="single" w:color="auto" w:sz="4" w:space="0"/>
              <w:left w:val="single" w:color="auto" w:sz="4" w:space="0"/>
              <w:bottom w:val="single" w:color="auto" w:sz="4" w:space="0"/>
              <w:right w:val="single" w:color="auto" w:sz="4" w:space="0"/>
            </w:tcBorders>
          </w:tcPr>
          <w:p>
            <w:pPr>
              <w:widowControl/>
              <w:spacing w:line="340" w:lineRule="exact"/>
              <w:jc w:val="left"/>
              <w:rPr>
                <w:rFonts w:ascii="宋体" w:hAnsi="宋体" w:eastAsia="宋体" w:cs="宋体"/>
                <w:kern w:val="0"/>
                <w:szCs w:val="21"/>
              </w:rPr>
            </w:pPr>
          </w:p>
        </w:tc>
        <w:tc>
          <w:tcPr>
            <w:tcW w:w="855" w:type="dxa"/>
            <w:tcBorders>
              <w:top w:val="single" w:color="auto" w:sz="4" w:space="0"/>
              <w:left w:val="single" w:color="auto" w:sz="4" w:space="0"/>
              <w:bottom w:val="single" w:color="auto" w:sz="4" w:space="0"/>
              <w:right w:val="single" w:color="auto" w:sz="4" w:space="0"/>
            </w:tcBorders>
          </w:tcPr>
          <w:p>
            <w:pPr>
              <w:widowControl/>
              <w:spacing w:line="340" w:lineRule="exact"/>
              <w:jc w:val="left"/>
              <w:rPr>
                <w:rFonts w:ascii="宋体" w:hAnsi="宋体" w:eastAsia="宋体" w:cs="宋体"/>
                <w:kern w:val="0"/>
                <w:szCs w:val="21"/>
              </w:rPr>
            </w:pPr>
          </w:p>
        </w:tc>
        <w:tc>
          <w:tcPr>
            <w:tcW w:w="2295" w:type="dxa"/>
            <w:gridSpan w:val="2"/>
            <w:tcBorders>
              <w:top w:val="single" w:color="auto" w:sz="4" w:space="0"/>
              <w:left w:val="single" w:color="auto" w:sz="4" w:space="0"/>
              <w:bottom w:val="single" w:color="auto" w:sz="4" w:space="0"/>
              <w:right w:val="single" w:color="auto" w:sz="4" w:space="0"/>
            </w:tcBorders>
          </w:tcPr>
          <w:p>
            <w:pPr>
              <w:widowControl/>
              <w:spacing w:line="310" w:lineRule="exact"/>
              <w:jc w:val="left"/>
              <w:rPr>
                <w:rFonts w:ascii="宋体" w:hAnsi="宋体" w:eastAsia="宋体" w:cs="宋体"/>
                <w:kern w:val="0"/>
                <w:szCs w:val="21"/>
              </w:rPr>
            </w:pPr>
            <w:r>
              <w:rPr>
                <w:rFonts w:hint="eastAsia" w:ascii="宋体" w:hAnsi="宋体" w:eastAsia="宋体" w:cs="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72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填报单位意见</w:t>
            </w:r>
          </w:p>
        </w:tc>
        <w:tc>
          <w:tcPr>
            <w:tcW w:w="288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（盖章）</w:t>
            </w:r>
          </w:p>
          <w:p>
            <w:pPr>
              <w:widowControl/>
              <w:spacing w:line="280" w:lineRule="exact"/>
              <w:jc w:val="center"/>
              <w:rPr>
                <w:rFonts w:ascii="宋体" w:hAnsi="宋体" w:eastAsia="宋体" w:cs="宋体"/>
                <w:kern w:val="0"/>
                <w:szCs w:val="21"/>
              </w:rPr>
            </w:pPr>
          </w:p>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年   月   日</w:t>
            </w:r>
          </w:p>
        </w:tc>
        <w:tc>
          <w:tcPr>
            <w:tcW w:w="2439"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区县民政</w:t>
            </w:r>
          </w:p>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部门意见</w:t>
            </w:r>
          </w:p>
        </w:tc>
        <w:tc>
          <w:tcPr>
            <w:tcW w:w="2822"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p>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（盖章）</w:t>
            </w:r>
          </w:p>
          <w:p>
            <w:pPr>
              <w:widowControl/>
              <w:spacing w:line="280" w:lineRule="exact"/>
              <w:jc w:val="center"/>
              <w:rPr>
                <w:rFonts w:ascii="宋体" w:hAnsi="宋体" w:eastAsia="宋体" w:cs="宋体"/>
                <w:kern w:val="0"/>
                <w:szCs w:val="21"/>
              </w:rPr>
            </w:pPr>
          </w:p>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年   月    日</w:t>
            </w:r>
          </w:p>
          <w:p>
            <w:pPr>
              <w:widowControl/>
              <w:spacing w:line="280" w:lineRule="exact"/>
              <w:jc w:val="center"/>
              <w:rPr>
                <w:rFonts w:ascii="宋体" w:hAnsi="宋体" w:eastAsia="宋体" w:cs="宋体"/>
                <w:kern w:val="0"/>
                <w:szCs w:val="21"/>
              </w:rPr>
            </w:pPr>
          </w:p>
        </w:tc>
        <w:tc>
          <w:tcPr>
            <w:tcW w:w="183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区县财政</w:t>
            </w:r>
          </w:p>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部门意见</w:t>
            </w:r>
          </w:p>
        </w:tc>
        <w:tc>
          <w:tcPr>
            <w:tcW w:w="2295"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（盖章）</w:t>
            </w:r>
          </w:p>
          <w:p>
            <w:pPr>
              <w:widowControl/>
              <w:spacing w:line="280" w:lineRule="exact"/>
              <w:jc w:val="center"/>
              <w:rPr>
                <w:rFonts w:ascii="宋体" w:hAnsi="宋体" w:eastAsia="宋体" w:cs="宋体"/>
                <w:kern w:val="0"/>
                <w:szCs w:val="21"/>
              </w:rPr>
            </w:pPr>
          </w:p>
          <w:p>
            <w:pPr>
              <w:widowControl/>
              <w:spacing w:line="280" w:lineRule="exact"/>
              <w:jc w:val="center"/>
              <w:rPr>
                <w:rFonts w:ascii="宋体" w:hAnsi="宋体" w:eastAsia="宋体" w:cs="宋体"/>
                <w:kern w:val="0"/>
                <w:szCs w:val="21"/>
              </w:rPr>
            </w:pPr>
            <w:r>
              <w:rPr>
                <w:rFonts w:hint="eastAsia" w:ascii="宋体" w:hAnsi="宋体" w:eastAsia="宋体" w:cs="宋体"/>
                <w:kern w:val="0"/>
                <w:szCs w:val="21"/>
              </w:rPr>
              <w:t>年    月    日</w:t>
            </w:r>
          </w:p>
        </w:tc>
      </w:tr>
    </w:tbl>
    <w:p>
      <w:pPr>
        <w:widowControl/>
        <w:snapToGri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人员类别代码：1.博山区户籍居民。2.尚未登记博山区户口的新生儿及本区社会福利机构抚养的儿童。3.在博山区救助管理机构死亡且经相关部门确认无法查明身份的受助人员。4.驻博山区大中专院校全日制学生。5.区公安部门认定的未知名尸体。</w:t>
      </w:r>
    </w:p>
    <w:p>
      <w:pPr>
        <w:rPr>
          <w:rFonts w:hint="eastAsia" w:ascii="宋体" w:hAnsi="宋体" w:eastAsia="宋体" w:cs="宋体"/>
          <w:kern w:val="0"/>
          <w:szCs w:val="21"/>
        </w:rPr>
      </w:pPr>
    </w:p>
    <w:p>
      <w:pPr>
        <w:pStyle w:val="2"/>
        <w:rPr>
          <w:rFonts w:hint="eastAsia" w:ascii="宋体" w:hAnsi="宋体" w:eastAsia="宋体" w:cs="宋体"/>
          <w:kern w:val="0"/>
          <w:szCs w:val="21"/>
        </w:rPr>
      </w:pPr>
    </w:p>
    <w:p>
      <w:pPr>
        <w:rPr>
          <w:rFonts w:hint="eastAsia" w:ascii="宋体" w:hAnsi="宋体" w:eastAsia="宋体" w:cs="宋体"/>
          <w:kern w:val="0"/>
          <w:szCs w:val="21"/>
        </w:rPr>
        <w:sectPr>
          <w:footerReference r:id="rId5" w:type="default"/>
          <w:footerReference r:id="rId6" w:type="even"/>
          <w:pgSz w:w="16838" w:h="11906" w:orient="landscape"/>
          <w:pgMar w:top="1803" w:right="1440" w:bottom="1803" w:left="1440" w:header="851" w:footer="992" w:gutter="0"/>
          <w:pgNumType w:fmt="decimal"/>
          <w:cols w:space="0" w:num="1"/>
          <w:docGrid w:type="lines" w:linePitch="319" w:charSpace="0"/>
        </w:sect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pPr>
    </w:p>
    <w:p>
      <w:pPr>
        <w:keepNext w:val="0"/>
        <w:keepLines w:val="0"/>
        <w:pageBreakBefore w:val="0"/>
        <w:widowControl w:val="0"/>
        <w:kinsoku/>
        <w:wordWrap/>
        <w:overflowPunct/>
        <w:topLinePunct w:val="0"/>
        <w:autoSpaceDE/>
        <w:autoSpaceDN/>
        <w:bidi w:val="0"/>
        <w:adjustRightInd/>
        <w:snapToGrid/>
        <w:spacing w:line="550" w:lineRule="exact"/>
        <w:ind w:firstLine="280" w:firstLineChars="1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397510</wp:posOffset>
                </wp:positionV>
                <wp:extent cx="5616575" cy="1270"/>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1.3pt;height:0.1pt;width:442.25pt;mso-position-horizontal:center;z-index:251658240;mso-width-relative:page;mso-height-relative:page;" filled="f" stroked="t" coordsize="21600,21600" o:gfxdata="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2LWAXUAAAABgEAAA8AAAAAAAAAAQAgAAAAIgAAAGRycy9kb3ducmV2&#10;LnhtbFBLAQIUABQAAAAIAIdO4kAZgKueAAIAAPEDAAAOAAAAAAAAAAEAIAAAACMBAABkcnMvZTJv&#10;RG9jLnhtbFBLBQYAAAAABgAGAFkBAACVBQA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44450</wp:posOffset>
                </wp:positionV>
                <wp:extent cx="5616575" cy="127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5pt;height:0.1pt;width:442.25pt;mso-position-horizontal:center;z-index:251659264;mso-width-relative:page;mso-height-relative:page;" filled="f" stroked="t" coordsize="21600,21600" o:gfxdata="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HP309MAAAAEAQAADwAAAAAAAAABACAAAAAiAAAAZHJzL2Rvd25yZXYu&#10;eG1sUEsBAhQAFAAAAAgAh07iQDpd7moAAgAA8QMAAA4AAAAAAAAAAQAgAAAAIgEAAGRycy9lMm9E&#10;b2MueG1sUEsFBgAAAAAGAAYAWQEAAJQFAA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w:t xml:space="preserve">博山区人民政府办公室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印发</w:t>
      </w:r>
    </w:p>
    <w:sectPr>
      <w:footerReference r:id="rId7" w:type="default"/>
      <w:footerReference r:id="rId8" w:type="even"/>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w:t>
    </w:r>
    <w:sdt>
      <w:sdtPr>
        <w:rPr>
          <w:rFonts w:asciiTheme="majorEastAsia" w:hAnsiTheme="majorEastAsia" w:eastAsiaTheme="majorEastAsia"/>
          <w:sz w:val="28"/>
          <w:szCs w:val="28"/>
        </w:rPr>
        <w:id w:val="566078319"/>
        <w:docPartObj>
          <w:docPartGallery w:val="autotext"/>
        </w:docPartObj>
      </w:sdtPr>
      <w:sdtEndPr>
        <w:rPr>
          <w:rFonts w:asciiTheme="majorEastAsia" w:hAnsiTheme="majorEastAsia" w:eastAsiaTheme="majorEastAsia"/>
          <w:sz w:val="28"/>
          <w:szCs w:val="28"/>
        </w:rPr>
      </w:sdtEndPr>
      <w:sdtContent>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7</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Theme="minorEastAsia" w:hAnsiTheme="minorEastAsia"/>
        <w:sz w:val="28"/>
        <w:szCs w:val="28"/>
      </w:rPr>
      <w:t xml:space="preserve">— </w:t>
    </w:r>
    <w:sdt>
      <w:sdtPr>
        <w:rPr>
          <w:rFonts w:asciiTheme="minorEastAsia" w:hAnsiTheme="minorEastAsia"/>
          <w:sz w:val="28"/>
          <w:szCs w:val="28"/>
        </w:rPr>
        <w:id w:val="1689103140"/>
        <w:docPartObj>
          <w:docPartGallery w:val="autotext"/>
        </w:docPartObj>
      </w:sdtPr>
      <w:sdtEndPr>
        <w:rPr>
          <w:rFonts w:asciiTheme="minorHAnsi" w:hAnsiTheme="minorHAnsi"/>
          <w:sz w:val="18"/>
          <w:szCs w:val="24"/>
        </w:rPr>
      </w:sdtEndPr>
      <w:sdtContent>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6</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heme="majorEastAsia" w:hAnsiTheme="majorEastAsia" w:eastAsiaTheme="majorEastAsia"/>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pPr>
                          <w:r>
                            <w:rPr>
                              <w:rFonts w:hint="eastAsia" w:asciiTheme="majorEastAsia" w:hAnsiTheme="majorEastAsia" w:eastAsiaTheme="majorEastAsia"/>
                              <w:sz w:val="28"/>
                              <w:szCs w:val="28"/>
                            </w:rPr>
                            <w:t xml:space="preserve">— </w:t>
                          </w:r>
                          <w:sdt>
                            <w:sdtPr>
                              <w:rPr>
                                <w:rFonts w:asciiTheme="majorEastAsia" w:hAnsiTheme="majorEastAsia" w:eastAsiaTheme="majorEastAsia"/>
                                <w:sz w:val="28"/>
                                <w:szCs w:val="28"/>
                              </w:rPr>
                              <w:id w:val="566078319"/>
                              <w:docPartObj>
                                <w:docPartGallery w:val="autotext"/>
                              </w:docPartObj>
                            </w:sdtPr>
                            <w:sdtEndPr>
                              <w:rPr>
                                <w:rFonts w:asciiTheme="majorEastAsia" w:hAnsiTheme="majorEastAsia" w:eastAsiaTheme="majorEastAsia"/>
                                <w:sz w:val="28"/>
                                <w:szCs w:val="28"/>
                              </w:rPr>
                            </w:sdtEndPr>
                            <w:sdtContent>
                              <w:r>
                                <w:rPr>
                                  <w:rFonts w:hint="eastAsia" w:asciiTheme="majorEastAsia" w:hAnsiTheme="majorEastAsia" w:eastAsiaTheme="majorEastAsia"/>
                                  <w:sz w:val="28"/>
                                  <w:szCs w:val="28"/>
                                  <w:lang w:val="en-US" w:eastAsia="zh-CN"/>
                                </w:rPr>
                                <w:t xml:space="preserve">9 </w:t>
                              </w:r>
                              <w:r>
                                <w:rPr>
                                  <w:rFonts w:hint="eastAsia" w:asciiTheme="majorEastAsia" w:hAnsiTheme="majorEastAsia" w:eastAsiaTheme="majorEastAsia"/>
                                  <w:sz w:val="28"/>
                                  <w:szCs w:val="28"/>
                                </w:rPr>
                                <w:t>—</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jc w:val="right"/>
                    </w:pPr>
                    <w:r>
                      <w:rPr>
                        <w:rFonts w:hint="eastAsia" w:asciiTheme="majorEastAsia" w:hAnsiTheme="majorEastAsia" w:eastAsiaTheme="majorEastAsia"/>
                        <w:sz w:val="28"/>
                        <w:szCs w:val="28"/>
                      </w:rPr>
                      <w:t xml:space="preserve">— </w:t>
                    </w:r>
                    <w:sdt>
                      <w:sdtPr>
                        <w:rPr>
                          <w:rFonts w:asciiTheme="majorEastAsia" w:hAnsiTheme="majorEastAsia" w:eastAsiaTheme="majorEastAsia"/>
                          <w:sz w:val="28"/>
                          <w:szCs w:val="28"/>
                        </w:rPr>
                        <w:id w:val="566078319"/>
                        <w:docPartObj>
                          <w:docPartGallery w:val="autotext"/>
                        </w:docPartObj>
                      </w:sdtPr>
                      <w:sdtEndPr>
                        <w:rPr>
                          <w:rFonts w:asciiTheme="majorEastAsia" w:hAnsiTheme="majorEastAsia" w:eastAsiaTheme="majorEastAsia"/>
                          <w:sz w:val="28"/>
                          <w:szCs w:val="28"/>
                        </w:rPr>
                      </w:sdtEndPr>
                      <w:sdtContent>
                        <w:r>
                          <w:rPr>
                            <w:rFonts w:hint="eastAsia" w:asciiTheme="majorEastAsia" w:hAnsiTheme="majorEastAsia" w:eastAsiaTheme="majorEastAsia"/>
                            <w:sz w:val="28"/>
                            <w:szCs w:val="28"/>
                            <w:lang w:val="en-US" w:eastAsia="zh-CN"/>
                          </w:rPr>
                          <w:t xml:space="preserve">9 </w:t>
                        </w:r>
                        <w:r>
                          <w:rPr>
                            <w:rFonts w:hint="eastAsia" w:asciiTheme="majorEastAsia" w:hAnsiTheme="majorEastAsia" w:eastAsiaTheme="majorEastAsia"/>
                            <w:sz w:val="28"/>
                            <w:szCs w:val="28"/>
                          </w:rPr>
                          <w:t>—</w:t>
                        </w:r>
                      </w:sdtContent>
                    </w:sd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sz w:val="28"/>
                              <w:szCs w:val="28"/>
                            </w:rPr>
                            <w:t xml:space="preserve">— </w:t>
                          </w:r>
                          <w:sdt>
                            <w:sdtPr>
                              <w:rPr>
                                <w:rFonts w:asciiTheme="minorEastAsia" w:hAnsiTheme="minorEastAsia"/>
                                <w:sz w:val="28"/>
                                <w:szCs w:val="28"/>
                              </w:rPr>
                              <w:id w:val="1689103140"/>
                              <w:docPartObj>
                                <w:docPartGallery w:val="autotext"/>
                              </w:docPartObj>
                            </w:sdtPr>
                            <w:sdtEndPr>
                              <w:rPr>
                                <w:rFonts w:asciiTheme="minorHAnsi" w:hAnsiTheme="minorHAnsi"/>
                                <w:sz w:val="18"/>
                                <w:szCs w:val="24"/>
                              </w:rPr>
                            </w:sdtEndPr>
                            <w:sdtContent>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6</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rPr>
                        <w:rFonts w:hint="eastAsia" w:asciiTheme="minorEastAsia" w:hAnsiTheme="minorEastAsia"/>
                        <w:sz w:val="28"/>
                        <w:szCs w:val="28"/>
                      </w:rPr>
                      <w:t xml:space="preserve">— </w:t>
                    </w:r>
                    <w:sdt>
                      <w:sdtPr>
                        <w:rPr>
                          <w:rFonts w:asciiTheme="minorEastAsia" w:hAnsiTheme="minorEastAsia"/>
                          <w:sz w:val="28"/>
                          <w:szCs w:val="28"/>
                        </w:rPr>
                        <w:id w:val="1689103140"/>
                        <w:docPartObj>
                          <w:docPartGallery w:val="autotext"/>
                        </w:docPartObj>
                      </w:sdtPr>
                      <w:sdtEndPr>
                        <w:rPr>
                          <w:rFonts w:asciiTheme="minorHAnsi" w:hAnsiTheme="minorHAnsi"/>
                          <w:sz w:val="18"/>
                          <w:szCs w:val="24"/>
                        </w:rPr>
                      </w:sdtEndPr>
                      <w:sdtContent>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6</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heme="majorEastAsia" w:hAnsiTheme="majorEastAsia" w:eastAsiaTheme="majorEastAsia"/>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2F65BD"/>
    <w:rsid w:val="00002A66"/>
    <w:rsid w:val="00004E03"/>
    <w:rsid w:val="00012EE6"/>
    <w:rsid w:val="00032A28"/>
    <w:rsid w:val="00044901"/>
    <w:rsid w:val="000B259A"/>
    <w:rsid w:val="000D39B1"/>
    <w:rsid w:val="001223CE"/>
    <w:rsid w:val="00144639"/>
    <w:rsid w:val="001446E0"/>
    <w:rsid w:val="0019751A"/>
    <w:rsid w:val="00206167"/>
    <w:rsid w:val="00235CFC"/>
    <w:rsid w:val="00275BD7"/>
    <w:rsid w:val="002E7B09"/>
    <w:rsid w:val="00302286"/>
    <w:rsid w:val="003022B0"/>
    <w:rsid w:val="00397DA0"/>
    <w:rsid w:val="003E3197"/>
    <w:rsid w:val="00425290"/>
    <w:rsid w:val="00426159"/>
    <w:rsid w:val="004745BF"/>
    <w:rsid w:val="004919F4"/>
    <w:rsid w:val="00527525"/>
    <w:rsid w:val="005558C9"/>
    <w:rsid w:val="00564CB7"/>
    <w:rsid w:val="005B578C"/>
    <w:rsid w:val="005B7784"/>
    <w:rsid w:val="005D227D"/>
    <w:rsid w:val="005E1151"/>
    <w:rsid w:val="005E7785"/>
    <w:rsid w:val="00647CB1"/>
    <w:rsid w:val="00684E03"/>
    <w:rsid w:val="00695F1E"/>
    <w:rsid w:val="006A60C3"/>
    <w:rsid w:val="006C05E6"/>
    <w:rsid w:val="006E44D9"/>
    <w:rsid w:val="00700EEB"/>
    <w:rsid w:val="00702126"/>
    <w:rsid w:val="007567E4"/>
    <w:rsid w:val="00756CD5"/>
    <w:rsid w:val="007863ED"/>
    <w:rsid w:val="007952F0"/>
    <w:rsid w:val="007E3D9F"/>
    <w:rsid w:val="008048A2"/>
    <w:rsid w:val="008A63E2"/>
    <w:rsid w:val="008B1A3C"/>
    <w:rsid w:val="008F7054"/>
    <w:rsid w:val="0090087B"/>
    <w:rsid w:val="00923A09"/>
    <w:rsid w:val="00926A23"/>
    <w:rsid w:val="0093004C"/>
    <w:rsid w:val="009745B7"/>
    <w:rsid w:val="009745CD"/>
    <w:rsid w:val="00A139FD"/>
    <w:rsid w:val="00A20438"/>
    <w:rsid w:val="00A32C75"/>
    <w:rsid w:val="00A718C2"/>
    <w:rsid w:val="00A93FEE"/>
    <w:rsid w:val="00AA2F68"/>
    <w:rsid w:val="00AC61F4"/>
    <w:rsid w:val="00AC6538"/>
    <w:rsid w:val="00AE05F6"/>
    <w:rsid w:val="00AE2DFA"/>
    <w:rsid w:val="00B12820"/>
    <w:rsid w:val="00B227EB"/>
    <w:rsid w:val="00B56134"/>
    <w:rsid w:val="00B702CF"/>
    <w:rsid w:val="00BF3FDE"/>
    <w:rsid w:val="00C444C9"/>
    <w:rsid w:val="00C639F3"/>
    <w:rsid w:val="00C76737"/>
    <w:rsid w:val="00C96E8B"/>
    <w:rsid w:val="00CC0C8D"/>
    <w:rsid w:val="00CF40A2"/>
    <w:rsid w:val="00CF6F2A"/>
    <w:rsid w:val="00D1472A"/>
    <w:rsid w:val="00D339A5"/>
    <w:rsid w:val="00D76558"/>
    <w:rsid w:val="00DB1EDF"/>
    <w:rsid w:val="00E1455C"/>
    <w:rsid w:val="00E31288"/>
    <w:rsid w:val="00E405E8"/>
    <w:rsid w:val="00E52F92"/>
    <w:rsid w:val="00ED1B46"/>
    <w:rsid w:val="00F07604"/>
    <w:rsid w:val="00F376D9"/>
    <w:rsid w:val="00F37FF4"/>
    <w:rsid w:val="00F5620B"/>
    <w:rsid w:val="00FC2660"/>
    <w:rsid w:val="00FF2B02"/>
    <w:rsid w:val="0127455D"/>
    <w:rsid w:val="049E5313"/>
    <w:rsid w:val="04B453CA"/>
    <w:rsid w:val="10070F31"/>
    <w:rsid w:val="152F42A7"/>
    <w:rsid w:val="16A65094"/>
    <w:rsid w:val="18947EC8"/>
    <w:rsid w:val="1E8C18BA"/>
    <w:rsid w:val="1E92067B"/>
    <w:rsid w:val="1EA52DF9"/>
    <w:rsid w:val="1F5E56B5"/>
    <w:rsid w:val="21A90DF4"/>
    <w:rsid w:val="228C04D2"/>
    <w:rsid w:val="22EF7DB2"/>
    <w:rsid w:val="235A514F"/>
    <w:rsid w:val="25721586"/>
    <w:rsid w:val="263C2081"/>
    <w:rsid w:val="28C83133"/>
    <w:rsid w:val="2D87485A"/>
    <w:rsid w:val="30BD490C"/>
    <w:rsid w:val="348A536A"/>
    <w:rsid w:val="34AE4AF1"/>
    <w:rsid w:val="354014F9"/>
    <w:rsid w:val="3DE6608B"/>
    <w:rsid w:val="3F2C45C7"/>
    <w:rsid w:val="42825A3B"/>
    <w:rsid w:val="473442CA"/>
    <w:rsid w:val="49244D6E"/>
    <w:rsid w:val="49D314CB"/>
    <w:rsid w:val="4B530C98"/>
    <w:rsid w:val="4CB213A8"/>
    <w:rsid w:val="4D763DBE"/>
    <w:rsid w:val="4FD06820"/>
    <w:rsid w:val="50E66480"/>
    <w:rsid w:val="51086014"/>
    <w:rsid w:val="51341011"/>
    <w:rsid w:val="515C1972"/>
    <w:rsid w:val="520773CD"/>
    <w:rsid w:val="547B3A5B"/>
    <w:rsid w:val="549817FC"/>
    <w:rsid w:val="54C639E5"/>
    <w:rsid w:val="54D92F1D"/>
    <w:rsid w:val="602F65BD"/>
    <w:rsid w:val="60A31632"/>
    <w:rsid w:val="62881F79"/>
    <w:rsid w:val="65476842"/>
    <w:rsid w:val="66321700"/>
    <w:rsid w:val="6B1838A0"/>
    <w:rsid w:val="6B7B11E7"/>
    <w:rsid w:val="6D2E4665"/>
    <w:rsid w:val="6E5266CF"/>
    <w:rsid w:val="718B15F5"/>
    <w:rsid w:val="73265866"/>
    <w:rsid w:val="736B0B80"/>
    <w:rsid w:val="79DA0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0" w:afterAutospacing="0" w:line="576" w:lineRule="exact"/>
      <w:ind w:firstLine="880" w:firstLineChars="200"/>
      <w:jc w:val="left"/>
      <w:outlineLvl w:val="0"/>
    </w:pPr>
    <w:rPr>
      <w:rFonts w:ascii="黑体" w:hAnsi="黑体" w:eastAsia="黑体" w:cs="Times New Roman"/>
      <w:kern w:val="44"/>
      <w:sz w:val="32"/>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800080"/>
      <w:u w:val="none"/>
    </w:rPr>
  </w:style>
  <w:style w:type="character" w:styleId="12">
    <w:name w:val="Hyperlink"/>
    <w:basedOn w:val="8"/>
    <w:qFormat/>
    <w:uiPriority w:val="0"/>
    <w:rPr>
      <w:color w:val="0000FF"/>
      <w:u w:val="single"/>
    </w:rPr>
  </w:style>
  <w:style w:type="character" w:customStyle="1" w:styleId="13">
    <w:name w:val="页脚 Char"/>
    <w:basedOn w:val="8"/>
    <w:link w:val="4"/>
    <w:qFormat/>
    <w:uiPriority w:val="99"/>
    <w:rPr>
      <w:rFonts w:asciiTheme="minorHAnsi" w:hAnsiTheme="minorHAnsi" w:eastAsiaTheme="minorEastAsia" w:cstheme="minorBidi"/>
      <w:kern w:val="2"/>
      <w:sz w:val="18"/>
      <w:szCs w:val="24"/>
    </w:rPr>
  </w:style>
  <w:style w:type="character" w:customStyle="1" w:styleId="14">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3066</Words>
  <Characters>3138</Characters>
  <Lines>26</Lines>
  <Paragraphs>7</Paragraphs>
  <TotalTime>1591</TotalTime>
  <ScaleCrop>false</ScaleCrop>
  <LinksUpToDate>false</LinksUpToDate>
  <CharactersWithSpaces>3534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2021-01-22T10:00:00Z</dcterms:created>
  <dc:creator>onlyyou</dc:creator>
  <cp:lastModifiedBy>admin</cp:lastModifiedBy>
  <cp:lastPrinted>2021-03-01T07:07:00Z</cp:lastPrinted>
  <dcterms:modified xsi:type="dcterms:W3CDTF">2021-03-02T03:30:56Z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