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i w:val="0"/>
          <w:caps w:val="0"/>
          <w:color w:val="333333"/>
          <w:spacing w:val="0"/>
          <w:sz w:val="44"/>
          <w:szCs w:val="44"/>
        </w:rPr>
      </w:pPr>
      <w:r>
        <w:rPr>
          <w:rFonts w:hint="eastAsia" w:ascii="宋体" w:hAnsi="宋体" w:eastAsia="宋体" w:cs="宋体"/>
          <w:b/>
          <w:i w:val="0"/>
          <w:caps w:val="0"/>
          <w:color w:val="333333"/>
          <w:spacing w:val="0"/>
          <w:sz w:val="44"/>
          <w:szCs w:val="44"/>
          <w:shd w:val="clear" w:fill="FFFFFF"/>
          <w:lang w:val="en-US" w:eastAsia="zh-CN"/>
        </w:rPr>
        <w:t>博山镇2020年度</w:t>
      </w:r>
      <w:r>
        <w:rPr>
          <w:rFonts w:hint="eastAsia" w:ascii="宋体" w:hAnsi="宋体" w:eastAsia="宋体" w:cs="宋体"/>
          <w:b/>
          <w:i w:val="0"/>
          <w:caps w:val="0"/>
          <w:color w:val="333333"/>
          <w:spacing w:val="0"/>
          <w:sz w:val="44"/>
          <w:szCs w:val="44"/>
          <w:shd w:val="clear" w:fill="FFFFFF"/>
        </w:rPr>
        <w:t>政府信息公开工作年度报告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caps w:val="0"/>
          <w:color w:val="333333"/>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0" w:firstLineChars="200"/>
        <w:jc w:val="both"/>
        <w:rPr>
          <w:rFonts w:hint="eastAsia" w:ascii="黑体" w:hAnsi="黑体" w:eastAsia="黑体" w:cs="黑体"/>
          <w:b w:val="0"/>
          <w:bCs/>
          <w:i w:val="0"/>
          <w:caps w:val="0"/>
          <w:color w:val="333333"/>
          <w:spacing w:val="0"/>
          <w:sz w:val="32"/>
          <w:szCs w:val="32"/>
        </w:rPr>
      </w:pPr>
      <w:r>
        <w:rPr>
          <w:rFonts w:hint="eastAsia" w:ascii="黑体" w:hAnsi="黑体" w:eastAsia="黑体" w:cs="黑体"/>
          <w:b w:val="0"/>
          <w:bCs/>
          <w:i w:val="0"/>
          <w:caps w:val="0"/>
          <w:color w:val="333333"/>
          <w:spacing w:val="0"/>
          <w:sz w:val="32"/>
          <w:szCs w:val="32"/>
          <w:shd w:val="clear" w:fill="FFFFFF"/>
        </w:rPr>
        <w:t>一、总体情况</w:t>
      </w:r>
    </w:p>
    <w:p>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78" w:lineRule="exact"/>
        <w:ind w:left="0" w:right="0" w:firstLine="640" w:firstLineChars="200"/>
        <w:jc w:val="both"/>
        <w:textAlignment w:val="auto"/>
        <w:rPr>
          <w:rFonts w:hint="eastAsia" w:ascii="仿宋" w:hAnsi="仿宋" w:eastAsia="仿宋" w:cs="仿宋"/>
          <w:i w:val="0"/>
          <w:caps w:val="0"/>
          <w:color w:val="000000"/>
          <w:spacing w:val="0"/>
          <w:sz w:val="32"/>
          <w:szCs w:val="32"/>
          <w:lang w:eastAsia="zh-CN"/>
        </w:rPr>
      </w:pPr>
      <w:r>
        <w:rPr>
          <w:rFonts w:hint="eastAsia" w:ascii="仿宋" w:hAnsi="仿宋" w:eastAsia="仿宋" w:cs="仿宋"/>
          <w:i w:val="0"/>
          <w:caps w:val="0"/>
          <w:color w:val="000000"/>
          <w:spacing w:val="0"/>
          <w:sz w:val="32"/>
          <w:szCs w:val="32"/>
          <w:lang w:eastAsia="zh-CN"/>
        </w:rPr>
        <w:t>2020</w:t>
      </w:r>
      <w:r>
        <w:rPr>
          <w:rFonts w:hint="eastAsia" w:ascii="仿宋" w:hAnsi="仿宋" w:eastAsia="仿宋" w:cs="仿宋"/>
          <w:i w:val="0"/>
          <w:caps w:val="0"/>
          <w:color w:val="000000"/>
          <w:spacing w:val="0"/>
          <w:sz w:val="32"/>
          <w:szCs w:val="32"/>
        </w:rPr>
        <w:t>年在区委、区政府的正确领导下，</w:t>
      </w:r>
      <w:r>
        <w:rPr>
          <w:rFonts w:hint="eastAsia" w:ascii="仿宋_GB2312" w:eastAsia="仿宋_GB2312"/>
          <w:kern w:val="0"/>
          <w:sz w:val="32"/>
          <w:szCs w:val="32"/>
        </w:rPr>
        <w:t>深入贯彻《中华人民共和国政府信息公开条例》和中办、国办《关于全面推进政务公开工作的意见》，</w:t>
      </w:r>
      <w:r>
        <w:rPr>
          <w:rFonts w:hint="eastAsia" w:ascii="仿宋" w:hAnsi="仿宋" w:eastAsia="仿宋" w:cs="仿宋"/>
          <w:i w:val="0"/>
          <w:caps w:val="0"/>
          <w:color w:val="000000"/>
          <w:spacing w:val="0"/>
          <w:sz w:val="32"/>
          <w:szCs w:val="32"/>
        </w:rPr>
        <w:t>从推进“服务型政府”建设的高度，严格按照政府信息公开条例和区政府关于政府信息公开工作的部署和要求，不断完善政府信息公开的运作流程，将</w:t>
      </w:r>
      <w:r>
        <w:rPr>
          <w:rFonts w:hint="eastAsia" w:ascii="仿宋" w:hAnsi="仿宋" w:eastAsia="仿宋" w:cs="仿宋"/>
          <w:i w:val="0"/>
          <w:caps w:val="0"/>
          <w:color w:val="000000"/>
          <w:spacing w:val="0"/>
          <w:sz w:val="32"/>
          <w:szCs w:val="32"/>
          <w:lang w:eastAsia="zh-CN"/>
        </w:rPr>
        <w:t>镇内</w:t>
      </w:r>
      <w:r>
        <w:rPr>
          <w:rFonts w:hint="eastAsia" w:ascii="仿宋" w:hAnsi="仿宋" w:eastAsia="仿宋" w:cs="仿宋"/>
          <w:i w:val="0"/>
          <w:caps w:val="0"/>
          <w:color w:val="000000"/>
          <w:spacing w:val="0"/>
          <w:sz w:val="32"/>
          <w:szCs w:val="32"/>
        </w:rPr>
        <w:t>需要公开的信息进行了进一步梳理和规范</w:t>
      </w:r>
      <w:r>
        <w:rPr>
          <w:rFonts w:hint="eastAsia" w:ascii="仿宋" w:hAnsi="仿宋" w:eastAsia="仿宋" w:cs="仿宋"/>
          <w:i w:val="0"/>
          <w:caps w:val="0"/>
          <w:color w:val="000000"/>
          <w:spacing w:val="0"/>
          <w:sz w:val="32"/>
          <w:szCs w:val="32"/>
          <w:lang w:eastAsia="zh-CN"/>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0" w:firstLineChars="200"/>
        <w:jc w:val="both"/>
        <w:rPr>
          <w:rFonts w:hint="eastAsia" w:ascii="黑体" w:hAnsi="黑体" w:eastAsia="黑体" w:cs="黑体"/>
          <w:b w:val="0"/>
          <w:bCs/>
          <w:i w:val="0"/>
          <w:caps w:val="0"/>
          <w:color w:val="333333"/>
          <w:spacing w:val="0"/>
          <w:sz w:val="32"/>
          <w:szCs w:val="32"/>
          <w:shd w:val="clear" w:fill="FFFFFF"/>
        </w:rPr>
      </w:pPr>
      <w:r>
        <w:rPr>
          <w:rFonts w:hint="eastAsia" w:ascii="黑体" w:hAnsi="黑体" w:eastAsia="黑体" w:cs="黑体"/>
          <w:b w:val="0"/>
          <w:bCs/>
          <w:i w:val="0"/>
          <w:caps w:val="0"/>
          <w:color w:val="333333"/>
          <w:spacing w:val="0"/>
          <w:sz w:val="32"/>
          <w:szCs w:val="32"/>
          <w:shd w:val="clear" w:fill="FFFFFF"/>
        </w:rPr>
        <w:t>二、主动公开政府信息情况</w:t>
      </w:r>
    </w:p>
    <w:tbl>
      <w:tblPr>
        <w:tblStyle w:val="3"/>
        <w:tblW w:w="8140" w:type="dxa"/>
        <w:jc w:val="center"/>
        <w:shd w:val="clear" w:color="auto" w:fill="auto"/>
        <w:tblLayout w:type="fixed"/>
        <w:tblCellMar>
          <w:top w:w="0" w:type="dxa"/>
          <w:left w:w="0" w:type="dxa"/>
          <w:bottom w:w="0" w:type="dxa"/>
          <w:right w:w="0" w:type="dxa"/>
        </w:tblCellMar>
      </w:tblPr>
      <w:tblGrid>
        <w:gridCol w:w="3113"/>
        <w:gridCol w:w="1869"/>
        <w:gridCol w:w="1277"/>
        <w:gridCol w:w="1881"/>
      </w:tblGrid>
      <w:tr>
        <w:tblPrEx>
          <w:tblCellMar>
            <w:top w:w="0" w:type="dxa"/>
            <w:left w:w="0" w:type="dxa"/>
            <w:bottom w:w="0" w:type="dxa"/>
            <w:right w:w="0" w:type="dxa"/>
          </w:tblCellMar>
        </w:tblPrEx>
        <w:trPr>
          <w:trHeight w:val="495" w:hRule="atLeast"/>
          <w:jc w:val="center"/>
        </w:trPr>
        <w:tc>
          <w:tcPr>
            <w:tcW w:w="8140" w:type="dxa"/>
            <w:gridSpan w:val="4"/>
            <w:tcBorders>
              <w:top w:val="single" w:color="auto" w:sz="8" w:space="0"/>
              <w:left w:val="single" w:color="auto" w:sz="8" w:space="0"/>
              <w:bottom w:val="single" w:color="auto" w:sz="8" w:space="0"/>
              <w:right w:val="single" w:color="auto" w:sz="8" w:space="0"/>
            </w:tcBorders>
            <w:shd w:val="clear" w:color="auto" w:fill="C6D9F1"/>
            <w:noWrap/>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第二十条第（一）项</w:t>
            </w:r>
          </w:p>
        </w:tc>
      </w:tr>
      <w:tr>
        <w:tblPrEx>
          <w:tblCellMar>
            <w:top w:w="0" w:type="dxa"/>
            <w:left w:w="0" w:type="dxa"/>
            <w:bottom w:w="0" w:type="dxa"/>
            <w:right w:w="0" w:type="dxa"/>
          </w:tblCellMar>
        </w:tblPrEx>
        <w:trPr>
          <w:trHeight w:val="882" w:hRule="atLeast"/>
          <w:jc w:val="center"/>
        </w:trPr>
        <w:tc>
          <w:tcPr>
            <w:tcW w:w="3113" w:type="dxa"/>
            <w:tcBorders>
              <w:top w:val="nil"/>
              <w:left w:val="single" w:color="auto" w:sz="8" w:space="0"/>
              <w:bottom w:val="single" w:color="auto" w:sz="8" w:space="0"/>
              <w:right w:val="single" w:color="auto" w:sz="8" w:space="0"/>
            </w:tcBorders>
            <w:shd w:val="clear" w:color="auto" w:fill="auto"/>
            <w:noWrap/>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信息内容</w:t>
            </w:r>
          </w:p>
        </w:tc>
        <w:tc>
          <w:tcPr>
            <w:tcW w:w="1869" w:type="dxa"/>
            <w:tcBorders>
              <w:top w:val="single" w:color="auto" w:sz="8" w:space="0"/>
              <w:left w:val="nil"/>
              <w:bottom w:val="single" w:color="auto" w:sz="8" w:space="0"/>
              <w:right w:val="single" w:color="auto" w:sz="8" w:space="0"/>
            </w:tcBorders>
            <w:shd w:val="clear" w:color="auto" w:fill="auto"/>
            <w:noWrap/>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本年新</w:t>
            </w:r>
            <w:r>
              <w:rPr>
                <w:rFonts w:hint="eastAsia" w:ascii="宋体"/>
                <w:sz w:val="20"/>
                <w:szCs w:val="20"/>
                <w:lang w:val="en-US" w:eastAsia="zh-CN"/>
              </w:rPr>
              <w:br w:type="textWrapping"/>
            </w:r>
            <w:r>
              <w:rPr>
                <w:rFonts w:hint="eastAsia" w:ascii="宋体"/>
                <w:sz w:val="20"/>
                <w:szCs w:val="20"/>
                <w:lang w:val="en-US" w:eastAsia="zh-CN"/>
              </w:rPr>
              <w:t>制作数量</w:t>
            </w:r>
          </w:p>
        </w:tc>
        <w:tc>
          <w:tcPr>
            <w:tcW w:w="1277"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本年新</w:t>
            </w:r>
            <w:r>
              <w:rPr>
                <w:rFonts w:hint="eastAsia" w:ascii="宋体"/>
                <w:sz w:val="20"/>
                <w:szCs w:val="20"/>
                <w:lang w:val="en-US" w:eastAsia="zh-CN"/>
              </w:rPr>
              <w:br w:type="textWrapping"/>
            </w:r>
            <w:r>
              <w:rPr>
                <w:rFonts w:hint="eastAsia" w:ascii="宋体"/>
                <w:sz w:val="20"/>
                <w:szCs w:val="20"/>
                <w:lang w:val="en-US" w:eastAsia="zh-CN"/>
              </w:rPr>
              <w:t>公开数量</w:t>
            </w:r>
          </w:p>
        </w:tc>
        <w:tc>
          <w:tcPr>
            <w:tcW w:w="1881" w:type="dxa"/>
            <w:tcBorders>
              <w:top w:val="nil"/>
              <w:left w:val="nil"/>
              <w:bottom w:val="single" w:color="auto" w:sz="8" w:space="0"/>
              <w:right w:val="single" w:color="auto" w:sz="8" w:space="0"/>
            </w:tcBorders>
            <w:shd w:val="clear" w:color="auto" w:fill="auto"/>
            <w:noWrap/>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对外公开总数量</w:t>
            </w:r>
          </w:p>
        </w:tc>
      </w:tr>
      <w:tr>
        <w:tblPrEx>
          <w:tblCellMar>
            <w:top w:w="0" w:type="dxa"/>
            <w:left w:w="0" w:type="dxa"/>
            <w:bottom w:w="0" w:type="dxa"/>
            <w:right w:w="0" w:type="dxa"/>
          </w:tblCellMar>
        </w:tblPrEx>
        <w:trPr>
          <w:trHeight w:val="523" w:hRule="atLeast"/>
          <w:jc w:val="center"/>
        </w:trPr>
        <w:tc>
          <w:tcPr>
            <w:tcW w:w="3113" w:type="dxa"/>
            <w:tcBorders>
              <w:top w:val="nil"/>
              <w:left w:val="single" w:color="auto" w:sz="8" w:space="0"/>
              <w:bottom w:val="single" w:color="auto" w:sz="8" w:space="0"/>
              <w:right w:val="single" w:color="auto" w:sz="8" w:space="0"/>
            </w:tcBorders>
            <w:shd w:val="clear" w:color="auto" w:fill="auto"/>
            <w:noWrap/>
            <w:tcMar>
              <w:left w:w="108" w:type="dxa"/>
              <w:right w:w="108" w:type="dxa"/>
            </w:tcMar>
            <w:vAlign w:val="center"/>
          </w:tcPr>
          <w:p>
            <w:pPr>
              <w:jc w:val="both"/>
              <w:rPr>
                <w:rFonts w:hint="eastAsia" w:ascii="宋体"/>
                <w:sz w:val="20"/>
                <w:szCs w:val="20"/>
                <w:lang w:val="en-US" w:eastAsia="zh-CN"/>
              </w:rPr>
            </w:pPr>
            <w:r>
              <w:rPr>
                <w:rFonts w:hint="eastAsia" w:ascii="宋体"/>
                <w:sz w:val="20"/>
                <w:szCs w:val="20"/>
                <w:lang w:val="en-US" w:eastAsia="zh-CN"/>
              </w:rPr>
              <w:t>规章</w:t>
            </w:r>
          </w:p>
        </w:tc>
        <w:tc>
          <w:tcPr>
            <w:tcW w:w="1869" w:type="dxa"/>
            <w:tcBorders>
              <w:top w:val="nil"/>
              <w:left w:val="nil"/>
              <w:bottom w:val="single" w:color="auto" w:sz="8" w:space="0"/>
              <w:right w:val="single" w:color="auto" w:sz="8" w:space="0"/>
            </w:tcBorders>
            <w:shd w:val="clear" w:color="auto" w:fill="auto"/>
            <w:noWrap/>
            <w:tcMar>
              <w:left w:w="108" w:type="dxa"/>
              <w:right w:w="108" w:type="dxa"/>
            </w:tcMar>
            <w:vAlign w:val="center"/>
          </w:tcPr>
          <w:p>
            <w:pPr>
              <w:jc w:val="center"/>
              <w:rPr>
                <w:rFonts w:hint="default" w:ascii="宋体"/>
                <w:sz w:val="20"/>
                <w:szCs w:val="20"/>
                <w:lang w:val="en-US" w:eastAsia="zh-CN"/>
              </w:rPr>
            </w:pPr>
            <w:r>
              <w:rPr>
                <w:rFonts w:hint="eastAsia" w:ascii="宋体"/>
                <w:sz w:val="20"/>
                <w:szCs w:val="20"/>
                <w:lang w:val="en-US" w:eastAsia="zh-CN"/>
              </w:rPr>
              <w:t>0</w:t>
            </w:r>
          </w:p>
        </w:tc>
        <w:tc>
          <w:tcPr>
            <w:tcW w:w="1277"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default" w:ascii="宋体"/>
                <w:sz w:val="20"/>
                <w:szCs w:val="20"/>
                <w:lang w:val="en-US" w:eastAsia="zh-CN"/>
              </w:rPr>
            </w:pPr>
            <w:r>
              <w:rPr>
                <w:rFonts w:hint="eastAsia" w:ascii="宋体"/>
                <w:sz w:val="20"/>
                <w:szCs w:val="20"/>
                <w:lang w:val="en-US" w:eastAsia="zh-CN"/>
              </w:rPr>
              <w:t> 0</w:t>
            </w:r>
          </w:p>
        </w:tc>
        <w:tc>
          <w:tcPr>
            <w:tcW w:w="1881" w:type="dxa"/>
            <w:tcBorders>
              <w:top w:val="nil"/>
              <w:left w:val="nil"/>
              <w:bottom w:val="single" w:color="auto" w:sz="8" w:space="0"/>
              <w:right w:val="single" w:color="auto" w:sz="8" w:space="0"/>
            </w:tcBorders>
            <w:shd w:val="clear" w:color="auto" w:fill="auto"/>
            <w:noWrap/>
            <w:tcMar>
              <w:left w:w="108" w:type="dxa"/>
              <w:right w:w="108" w:type="dxa"/>
            </w:tcMar>
            <w:vAlign w:val="center"/>
          </w:tcPr>
          <w:p>
            <w:pPr>
              <w:jc w:val="center"/>
              <w:rPr>
                <w:rFonts w:hint="default" w:ascii="宋体"/>
                <w:sz w:val="20"/>
                <w:szCs w:val="20"/>
                <w:lang w:val="en-US" w:eastAsia="zh-CN"/>
              </w:rPr>
            </w:pPr>
            <w:r>
              <w:rPr>
                <w:rFonts w:hint="eastAsia" w:ascii="宋体"/>
                <w:sz w:val="20"/>
                <w:szCs w:val="20"/>
                <w:lang w:val="en-US" w:eastAsia="zh-CN"/>
              </w:rPr>
              <w:t>　0</w:t>
            </w:r>
          </w:p>
        </w:tc>
      </w:tr>
      <w:tr>
        <w:tblPrEx>
          <w:tblCellMar>
            <w:top w:w="0" w:type="dxa"/>
            <w:left w:w="0" w:type="dxa"/>
            <w:bottom w:w="0" w:type="dxa"/>
            <w:right w:w="0" w:type="dxa"/>
          </w:tblCellMar>
        </w:tblPrEx>
        <w:trPr>
          <w:trHeight w:val="471" w:hRule="atLeast"/>
          <w:jc w:val="center"/>
        </w:trPr>
        <w:tc>
          <w:tcPr>
            <w:tcW w:w="3113" w:type="dxa"/>
            <w:tcBorders>
              <w:top w:val="nil"/>
              <w:left w:val="single" w:color="auto" w:sz="8" w:space="0"/>
              <w:bottom w:val="single" w:color="auto" w:sz="8" w:space="0"/>
              <w:right w:val="single" w:color="auto" w:sz="8" w:space="0"/>
            </w:tcBorders>
            <w:shd w:val="clear" w:color="auto" w:fill="auto"/>
            <w:noWrap/>
            <w:tcMar>
              <w:left w:w="108" w:type="dxa"/>
              <w:right w:w="108" w:type="dxa"/>
            </w:tcMar>
            <w:vAlign w:val="center"/>
          </w:tcPr>
          <w:p>
            <w:pPr>
              <w:jc w:val="both"/>
              <w:rPr>
                <w:rFonts w:hint="eastAsia" w:ascii="宋体"/>
                <w:sz w:val="20"/>
                <w:szCs w:val="20"/>
                <w:lang w:val="en-US" w:eastAsia="zh-CN"/>
              </w:rPr>
            </w:pPr>
            <w:r>
              <w:rPr>
                <w:rFonts w:hint="eastAsia" w:ascii="宋体"/>
                <w:sz w:val="20"/>
                <w:szCs w:val="20"/>
                <w:lang w:val="en-US" w:eastAsia="zh-CN"/>
              </w:rPr>
              <w:t>规范性文件</w:t>
            </w:r>
          </w:p>
        </w:tc>
        <w:tc>
          <w:tcPr>
            <w:tcW w:w="1869" w:type="dxa"/>
            <w:tcBorders>
              <w:top w:val="nil"/>
              <w:left w:val="nil"/>
              <w:bottom w:val="single" w:color="auto" w:sz="8" w:space="0"/>
              <w:right w:val="single" w:color="auto" w:sz="8" w:space="0"/>
            </w:tcBorders>
            <w:shd w:val="clear" w:color="auto" w:fill="auto"/>
            <w:noWrap/>
            <w:tcMar>
              <w:left w:w="108" w:type="dxa"/>
              <w:right w:w="108" w:type="dxa"/>
            </w:tcMar>
            <w:vAlign w:val="center"/>
          </w:tcPr>
          <w:p>
            <w:pPr>
              <w:jc w:val="center"/>
              <w:rPr>
                <w:rFonts w:hint="default" w:ascii="宋体"/>
                <w:sz w:val="20"/>
                <w:szCs w:val="20"/>
                <w:lang w:val="en-US" w:eastAsia="zh-CN"/>
              </w:rPr>
            </w:pPr>
            <w:r>
              <w:rPr>
                <w:rFonts w:hint="eastAsia" w:ascii="宋体"/>
                <w:sz w:val="20"/>
                <w:szCs w:val="20"/>
                <w:lang w:val="en-US" w:eastAsia="zh-CN"/>
              </w:rPr>
              <w:t>0</w:t>
            </w:r>
          </w:p>
        </w:tc>
        <w:tc>
          <w:tcPr>
            <w:tcW w:w="1277"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default" w:ascii="宋体"/>
                <w:sz w:val="20"/>
                <w:szCs w:val="20"/>
                <w:lang w:val="en-US" w:eastAsia="zh-CN"/>
              </w:rPr>
            </w:pPr>
            <w:r>
              <w:rPr>
                <w:rFonts w:hint="eastAsia" w:ascii="宋体"/>
                <w:sz w:val="20"/>
                <w:szCs w:val="20"/>
                <w:lang w:val="en-US" w:eastAsia="zh-CN"/>
              </w:rPr>
              <w:t> 0</w:t>
            </w:r>
          </w:p>
        </w:tc>
        <w:tc>
          <w:tcPr>
            <w:tcW w:w="1881" w:type="dxa"/>
            <w:tcBorders>
              <w:top w:val="nil"/>
              <w:left w:val="nil"/>
              <w:bottom w:val="single" w:color="auto" w:sz="8" w:space="0"/>
              <w:right w:val="single" w:color="auto" w:sz="8" w:space="0"/>
            </w:tcBorders>
            <w:shd w:val="clear" w:color="auto" w:fill="auto"/>
            <w:noWrap/>
            <w:tcMar>
              <w:left w:w="108" w:type="dxa"/>
              <w:right w:w="108" w:type="dxa"/>
            </w:tcMar>
            <w:vAlign w:val="center"/>
          </w:tcPr>
          <w:p>
            <w:pPr>
              <w:jc w:val="center"/>
              <w:rPr>
                <w:rFonts w:hint="default" w:ascii="宋体"/>
                <w:sz w:val="20"/>
                <w:szCs w:val="20"/>
                <w:lang w:val="en-US" w:eastAsia="zh-CN"/>
              </w:rPr>
            </w:pPr>
            <w:r>
              <w:rPr>
                <w:rFonts w:hint="eastAsia" w:ascii="宋体"/>
                <w:sz w:val="20"/>
                <w:szCs w:val="20"/>
                <w:lang w:val="en-US" w:eastAsia="zh-CN"/>
              </w:rPr>
              <w:t>　0</w:t>
            </w:r>
          </w:p>
        </w:tc>
      </w:tr>
      <w:tr>
        <w:tblPrEx>
          <w:shd w:val="clear" w:color="auto" w:fill="auto"/>
          <w:tblCellMar>
            <w:top w:w="0" w:type="dxa"/>
            <w:left w:w="0" w:type="dxa"/>
            <w:bottom w:w="0" w:type="dxa"/>
            <w:right w:w="0" w:type="dxa"/>
          </w:tblCellMar>
        </w:tblPrEx>
        <w:trPr>
          <w:trHeight w:val="480" w:hRule="atLeast"/>
          <w:jc w:val="center"/>
        </w:trPr>
        <w:tc>
          <w:tcPr>
            <w:tcW w:w="8140" w:type="dxa"/>
            <w:gridSpan w:val="4"/>
            <w:tcBorders>
              <w:top w:val="nil"/>
              <w:left w:val="single" w:color="auto" w:sz="8" w:space="0"/>
              <w:bottom w:val="single" w:color="auto" w:sz="8" w:space="0"/>
              <w:right w:val="single" w:color="auto" w:sz="8" w:space="0"/>
            </w:tcBorders>
            <w:shd w:val="clear" w:color="auto" w:fill="C6D9F1"/>
            <w:noWrap/>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第二十条第（五）项</w:t>
            </w:r>
          </w:p>
        </w:tc>
      </w:tr>
      <w:tr>
        <w:tblPrEx>
          <w:tblCellMar>
            <w:top w:w="0" w:type="dxa"/>
            <w:left w:w="0" w:type="dxa"/>
            <w:bottom w:w="0" w:type="dxa"/>
            <w:right w:w="0" w:type="dxa"/>
          </w:tblCellMar>
        </w:tblPrEx>
        <w:trPr>
          <w:trHeight w:val="634" w:hRule="atLeast"/>
          <w:jc w:val="center"/>
        </w:trPr>
        <w:tc>
          <w:tcPr>
            <w:tcW w:w="3113" w:type="dxa"/>
            <w:tcBorders>
              <w:top w:val="nil"/>
              <w:left w:val="single" w:color="auto" w:sz="8" w:space="0"/>
              <w:bottom w:val="single" w:color="auto" w:sz="8" w:space="0"/>
              <w:right w:val="single" w:color="auto" w:sz="8" w:space="0"/>
            </w:tcBorders>
            <w:shd w:val="clear" w:color="auto" w:fill="auto"/>
            <w:noWrap/>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信息内容</w:t>
            </w:r>
          </w:p>
        </w:tc>
        <w:tc>
          <w:tcPr>
            <w:tcW w:w="1869" w:type="dxa"/>
            <w:tcBorders>
              <w:top w:val="single" w:color="auto" w:sz="8" w:space="0"/>
              <w:left w:val="nil"/>
              <w:bottom w:val="single" w:color="auto" w:sz="8" w:space="0"/>
              <w:right w:val="single" w:color="auto" w:sz="8" w:space="0"/>
            </w:tcBorders>
            <w:shd w:val="clear" w:color="auto" w:fill="auto"/>
            <w:noWrap/>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上一年项目数量</w:t>
            </w:r>
          </w:p>
        </w:tc>
        <w:tc>
          <w:tcPr>
            <w:tcW w:w="1277"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本年增/减</w:t>
            </w:r>
          </w:p>
        </w:tc>
        <w:tc>
          <w:tcPr>
            <w:tcW w:w="1881" w:type="dxa"/>
            <w:tcBorders>
              <w:top w:val="nil"/>
              <w:left w:val="nil"/>
              <w:bottom w:val="single" w:color="auto" w:sz="8" w:space="0"/>
              <w:right w:val="single" w:color="auto" w:sz="8" w:space="0"/>
            </w:tcBorders>
            <w:shd w:val="clear" w:color="auto" w:fill="auto"/>
            <w:noWrap/>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处理决定数量</w:t>
            </w:r>
          </w:p>
        </w:tc>
      </w:tr>
      <w:tr>
        <w:tblPrEx>
          <w:shd w:val="clear" w:color="auto" w:fill="auto"/>
          <w:tblCellMar>
            <w:top w:w="0" w:type="dxa"/>
            <w:left w:w="0" w:type="dxa"/>
            <w:bottom w:w="0" w:type="dxa"/>
            <w:right w:w="0" w:type="dxa"/>
          </w:tblCellMar>
        </w:tblPrEx>
        <w:trPr>
          <w:trHeight w:val="528" w:hRule="atLeast"/>
          <w:jc w:val="center"/>
        </w:trPr>
        <w:tc>
          <w:tcPr>
            <w:tcW w:w="3113" w:type="dxa"/>
            <w:tcBorders>
              <w:top w:val="nil"/>
              <w:left w:val="single" w:color="auto" w:sz="8" w:space="0"/>
              <w:bottom w:val="single" w:color="auto" w:sz="8" w:space="0"/>
              <w:right w:val="single" w:color="auto" w:sz="8" w:space="0"/>
            </w:tcBorders>
            <w:shd w:val="clear" w:color="auto" w:fill="auto"/>
            <w:noWrap/>
            <w:tcMar>
              <w:left w:w="108" w:type="dxa"/>
              <w:right w:w="108" w:type="dxa"/>
            </w:tcMar>
            <w:vAlign w:val="center"/>
          </w:tcPr>
          <w:p>
            <w:pPr>
              <w:jc w:val="both"/>
              <w:rPr>
                <w:rFonts w:hint="eastAsia" w:ascii="宋体"/>
                <w:sz w:val="20"/>
                <w:szCs w:val="20"/>
                <w:lang w:val="en-US" w:eastAsia="zh-CN"/>
              </w:rPr>
            </w:pPr>
            <w:r>
              <w:rPr>
                <w:rFonts w:hint="eastAsia" w:ascii="宋体"/>
                <w:sz w:val="20"/>
                <w:szCs w:val="20"/>
                <w:lang w:val="en-US" w:eastAsia="zh-CN"/>
              </w:rPr>
              <w:t>行政许可</w:t>
            </w:r>
          </w:p>
        </w:tc>
        <w:tc>
          <w:tcPr>
            <w:tcW w:w="1869" w:type="dxa"/>
            <w:tcBorders>
              <w:top w:val="nil"/>
              <w:left w:val="nil"/>
              <w:bottom w:val="single" w:color="auto" w:sz="8" w:space="0"/>
              <w:right w:val="single" w:color="auto" w:sz="8" w:space="0"/>
            </w:tcBorders>
            <w:shd w:val="clear" w:color="auto" w:fill="auto"/>
            <w:noWrap/>
            <w:tcMar>
              <w:left w:w="108" w:type="dxa"/>
              <w:right w:w="108" w:type="dxa"/>
            </w:tcMar>
            <w:vAlign w:val="center"/>
          </w:tcPr>
          <w:p>
            <w:pPr>
              <w:jc w:val="center"/>
              <w:rPr>
                <w:rFonts w:hint="default" w:ascii="宋体"/>
                <w:sz w:val="20"/>
                <w:szCs w:val="20"/>
                <w:lang w:val="en-US" w:eastAsia="zh-CN"/>
              </w:rPr>
            </w:pPr>
            <w:r>
              <w:rPr>
                <w:rFonts w:hint="eastAsia" w:ascii="宋体"/>
                <w:sz w:val="20"/>
                <w:szCs w:val="20"/>
                <w:lang w:val="en-US" w:eastAsia="zh-CN"/>
              </w:rPr>
              <w:t>　0</w:t>
            </w:r>
          </w:p>
        </w:tc>
        <w:tc>
          <w:tcPr>
            <w:tcW w:w="1277" w:type="dxa"/>
            <w:tcBorders>
              <w:top w:val="nil"/>
              <w:left w:val="nil"/>
              <w:bottom w:val="single" w:color="auto" w:sz="8" w:space="0"/>
              <w:right w:val="single" w:color="auto" w:sz="8" w:space="0"/>
            </w:tcBorders>
            <w:shd w:val="clear" w:color="auto" w:fill="auto"/>
            <w:noWrap/>
            <w:tcMar>
              <w:left w:w="108" w:type="dxa"/>
              <w:right w:w="108" w:type="dxa"/>
            </w:tcMar>
            <w:vAlign w:val="center"/>
          </w:tcPr>
          <w:p>
            <w:pPr>
              <w:jc w:val="center"/>
              <w:rPr>
                <w:rFonts w:hint="default" w:ascii="宋体"/>
                <w:sz w:val="20"/>
                <w:szCs w:val="20"/>
                <w:lang w:val="en-US" w:eastAsia="zh-CN"/>
              </w:rPr>
            </w:pPr>
            <w:r>
              <w:rPr>
                <w:rFonts w:hint="eastAsia" w:ascii="宋体"/>
                <w:sz w:val="20"/>
                <w:szCs w:val="20"/>
                <w:lang w:val="en-US" w:eastAsia="zh-CN"/>
              </w:rPr>
              <w:t>　0</w:t>
            </w:r>
          </w:p>
        </w:tc>
        <w:tc>
          <w:tcPr>
            <w:tcW w:w="1881" w:type="dxa"/>
            <w:tcBorders>
              <w:top w:val="nil"/>
              <w:left w:val="nil"/>
              <w:bottom w:val="single" w:color="auto" w:sz="8" w:space="0"/>
              <w:right w:val="single" w:color="auto" w:sz="8" w:space="0"/>
            </w:tcBorders>
            <w:shd w:val="clear" w:color="auto" w:fill="auto"/>
            <w:noWrap/>
            <w:tcMar>
              <w:left w:w="108" w:type="dxa"/>
              <w:right w:w="108" w:type="dxa"/>
            </w:tcMar>
            <w:vAlign w:val="center"/>
          </w:tcPr>
          <w:p>
            <w:pPr>
              <w:jc w:val="center"/>
              <w:rPr>
                <w:rFonts w:hint="default" w:ascii="宋体"/>
                <w:sz w:val="20"/>
                <w:szCs w:val="20"/>
                <w:lang w:val="en-US" w:eastAsia="zh-CN"/>
              </w:rPr>
            </w:pPr>
            <w:r>
              <w:rPr>
                <w:rFonts w:hint="eastAsia" w:ascii="宋体"/>
                <w:sz w:val="20"/>
                <w:szCs w:val="20"/>
                <w:lang w:val="en-US" w:eastAsia="zh-CN"/>
              </w:rPr>
              <w:t>　0</w:t>
            </w:r>
          </w:p>
        </w:tc>
      </w:tr>
      <w:tr>
        <w:tblPrEx>
          <w:tblCellMar>
            <w:top w:w="0" w:type="dxa"/>
            <w:left w:w="0" w:type="dxa"/>
            <w:bottom w:w="0" w:type="dxa"/>
            <w:right w:w="0" w:type="dxa"/>
          </w:tblCellMar>
        </w:tblPrEx>
        <w:trPr>
          <w:trHeight w:val="550" w:hRule="atLeast"/>
          <w:jc w:val="center"/>
        </w:trPr>
        <w:tc>
          <w:tcPr>
            <w:tcW w:w="3113" w:type="dxa"/>
            <w:tcBorders>
              <w:top w:val="nil"/>
              <w:left w:val="single" w:color="auto" w:sz="8" w:space="0"/>
              <w:bottom w:val="single" w:color="auto" w:sz="8" w:space="0"/>
              <w:right w:val="single" w:color="auto" w:sz="8" w:space="0"/>
            </w:tcBorders>
            <w:shd w:val="clear" w:color="auto" w:fill="auto"/>
            <w:noWrap/>
            <w:tcMar>
              <w:left w:w="108" w:type="dxa"/>
              <w:right w:w="108" w:type="dxa"/>
            </w:tcMar>
            <w:vAlign w:val="center"/>
          </w:tcPr>
          <w:p>
            <w:pPr>
              <w:jc w:val="both"/>
              <w:rPr>
                <w:rFonts w:hint="eastAsia" w:ascii="宋体"/>
                <w:sz w:val="20"/>
                <w:szCs w:val="20"/>
                <w:lang w:val="en-US" w:eastAsia="zh-CN"/>
              </w:rPr>
            </w:pPr>
            <w:r>
              <w:rPr>
                <w:rFonts w:hint="eastAsia" w:ascii="宋体"/>
                <w:sz w:val="20"/>
                <w:szCs w:val="20"/>
                <w:lang w:val="en-US" w:eastAsia="zh-CN"/>
              </w:rPr>
              <w:t>其他对外管理服务事项</w:t>
            </w:r>
          </w:p>
        </w:tc>
        <w:tc>
          <w:tcPr>
            <w:tcW w:w="1869" w:type="dxa"/>
            <w:tcBorders>
              <w:top w:val="nil"/>
              <w:left w:val="nil"/>
              <w:bottom w:val="single" w:color="auto" w:sz="8" w:space="0"/>
              <w:right w:val="single" w:color="auto" w:sz="8" w:space="0"/>
            </w:tcBorders>
            <w:shd w:val="clear" w:color="auto" w:fill="auto"/>
            <w:noWrap/>
            <w:tcMar>
              <w:left w:w="108" w:type="dxa"/>
              <w:right w:w="108" w:type="dxa"/>
            </w:tcMar>
            <w:vAlign w:val="center"/>
          </w:tcPr>
          <w:p>
            <w:pPr>
              <w:jc w:val="center"/>
              <w:rPr>
                <w:rFonts w:hint="default" w:ascii="宋体"/>
                <w:sz w:val="20"/>
                <w:szCs w:val="20"/>
                <w:lang w:val="en-US" w:eastAsia="zh-CN"/>
              </w:rPr>
            </w:pPr>
            <w:r>
              <w:rPr>
                <w:rFonts w:hint="eastAsia" w:ascii="宋体"/>
                <w:sz w:val="20"/>
                <w:szCs w:val="20"/>
                <w:lang w:val="en-US" w:eastAsia="zh-CN"/>
              </w:rPr>
              <w:t>　0</w:t>
            </w:r>
          </w:p>
        </w:tc>
        <w:tc>
          <w:tcPr>
            <w:tcW w:w="1277" w:type="dxa"/>
            <w:tcBorders>
              <w:top w:val="nil"/>
              <w:left w:val="nil"/>
              <w:bottom w:val="single" w:color="auto" w:sz="8" w:space="0"/>
              <w:right w:val="single" w:color="auto" w:sz="8" w:space="0"/>
            </w:tcBorders>
            <w:shd w:val="clear" w:color="auto" w:fill="auto"/>
            <w:noWrap/>
            <w:tcMar>
              <w:left w:w="108" w:type="dxa"/>
              <w:right w:w="108" w:type="dxa"/>
            </w:tcMar>
            <w:vAlign w:val="center"/>
          </w:tcPr>
          <w:p>
            <w:pPr>
              <w:jc w:val="center"/>
              <w:rPr>
                <w:rFonts w:hint="default" w:ascii="宋体"/>
                <w:sz w:val="20"/>
                <w:szCs w:val="20"/>
                <w:lang w:val="en-US" w:eastAsia="zh-CN"/>
              </w:rPr>
            </w:pPr>
            <w:r>
              <w:rPr>
                <w:rFonts w:hint="eastAsia" w:ascii="宋体"/>
                <w:sz w:val="20"/>
                <w:szCs w:val="20"/>
                <w:lang w:val="en-US" w:eastAsia="zh-CN"/>
              </w:rPr>
              <w:t>　0</w:t>
            </w:r>
          </w:p>
        </w:tc>
        <w:tc>
          <w:tcPr>
            <w:tcW w:w="1881" w:type="dxa"/>
            <w:tcBorders>
              <w:top w:val="nil"/>
              <w:left w:val="nil"/>
              <w:bottom w:val="single" w:color="auto" w:sz="8" w:space="0"/>
              <w:right w:val="single" w:color="auto" w:sz="8" w:space="0"/>
            </w:tcBorders>
            <w:shd w:val="clear" w:color="auto" w:fill="auto"/>
            <w:noWrap/>
            <w:tcMar>
              <w:left w:w="108" w:type="dxa"/>
              <w:right w:w="108" w:type="dxa"/>
            </w:tcMar>
            <w:vAlign w:val="center"/>
          </w:tcPr>
          <w:p>
            <w:pPr>
              <w:jc w:val="center"/>
              <w:rPr>
                <w:rFonts w:hint="default" w:ascii="宋体"/>
                <w:sz w:val="20"/>
                <w:szCs w:val="20"/>
                <w:lang w:val="en-US" w:eastAsia="zh-CN"/>
              </w:rPr>
            </w:pPr>
            <w:r>
              <w:rPr>
                <w:rFonts w:hint="eastAsia" w:ascii="宋体"/>
                <w:sz w:val="20"/>
                <w:szCs w:val="20"/>
                <w:lang w:val="en-US" w:eastAsia="zh-CN"/>
              </w:rPr>
              <w:t>　0</w:t>
            </w:r>
          </w:p>
        </w:tc>
      </w:tr>
      <w:tr>
        <w:tblPrEx>
          <w:shd w:val="clear" w:color="auto" w:fill="auto"/>
          <w:tblCellMar>
            <w:top w:w="0" w:type="dxa"/>
            <w:left w:w="0" w:type="dxa"/>
            <w:bottom w:w="0" w:type="dxa"/>
            <w:right w:w="0" w:type="dxa"/>
          </w:tblCellMar>
        </w:tblPrEx>
        <w:trPr>
          <w:trHeight w:val="406" w:hRule="atLeast"/>
          <w:jc w:val="center"/>
        </w:trPr>
        <w:tc>
          <w:tcPr>
            <w:tcW w:w="8140" w:type="dxa"/>
            <w:gridSpan w:val="4"/>
            <w:tcBorders>
              <w:top w:val="nil"/>
              <w:left w:val="single" w:color="auto" w:sz="8" w:space="0"/>
              <w:bottom w:val="single" w:color="auto" w:sz="8" w:space="0"/>
              <w:right w:val="single" w:color="auto" w:sz="8" w:space="0"/>
            </w:tcBorders>
            <w:shd w:val="clear" w:color="auto" w:fill="C6D9F1"/>
            <w:noWrap/>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第二十条第（六）项</w:t>
            </w:r>
          </w:p>
        </w:tc>
      </w:tr>
      <w:tr>
        <w:tblPrEx>
          <w:tblCellMar>
            <w:top w:w="0" w:type="dxa"/>
            <w:left w:w="0" w:type="dxa"/>
            <w:bottom w:w="0" w:type="dxa"/>
            <w:right w:w="0" w:type="dxa"/>
          </w:tblCellMar>
        </w:tblPrEx>
        <w:trPr>
          <w:trHeight w:val="634" w:hRule="atLeast"/>
          <w:jc w:val="center"/>
        </w:trPr>
        <w:tc>
          <w:tcPr>
            <w:tcW w:w="3113" w:type="dxa"/>
            <w:tcBorders>
              <w:top w:val="nil"/>
              <w:left w:val="single" w:color="auto" w:sz="8" w:space="0"/>
              <w:bottom w:val="single" w:color="auto" w:sz="8" w:space="0"/>
              <w:right w:val="single" w:color="auto" w:sz="8" w:space="0"/>
            </w:tcBorders>
            <w:shd w:val="clear" w:color="auto" w:fill="auto"/>
            <w:noWrap/>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信息内容</w:t>
            </w:r>
          </w:p>
        </w:tc>
        <w:tc>
          <w:tcPr>
            <w:tcW w:w="1869" w:type="dxa"/>
            <w:tcBorders>
              <w:top w:val="single" w:color="auto" w:sz="8" w:space="0"/>
              <w:left w:val="nil"/>
              <w:bottom w:val="single" w:color="auto" w:sz="8" w:space="0"/>
              <w:right w:val="single" w:color="auto" w:sz="8" w:space="0"/>
            </w:tcBorders>
            <w:shd w:val="clear" w:color="auto" w:fill="auto"/>
            <w:noWrap/>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上一年项目数量</w:t>
            </w:r>
          </w:p>
        </w:tc>
        <w:tc>
          <w:tcPr>
            <w:tcW w:w="1277"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本年增/减</w:t>
            </w:r>
          </w:p>
        </w:tc>
        <w:tc>
          <w:tcPr>
            <w:tcW w:w="1881" w:type="dxa"/>
            <w:tcBorders>
              <w:top w:val="nil"/>
              <w:left w:val="nil"/>
              <w:bottom w:val="single" w:color="auto" w:sz="8" w:space="0"/>
              <w:right w:val="single" w:color="auto" w:sz="8" w:space="0"/>
            </w:tcBorders>
            <w:shd w:val="clear" w:color="auto" w:fill="auto"/>
            <w:noWrap/>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处理决定数量</w:t>
            </w:r>
          </w:p>
        </w:tc>
      </w:tr>
      <w:tr>
        <w:tblPrEx>
          <w:shd w:val="clear" w:color="auto" w:fill="auto"/>
          <w:tblCellMar>
            <w:top w:w="0" w:type="dxa"/>
            <w:left w:w="0" w:type="dxa"/>
            <w:bottom w:w="0" w:type="dxa"/>
            <w:right w:w="0" w:type="dxa"/>
          </w:tblCellMar>
        </w:tblPrEx>
        <w:trPr>
          <w:trHeight w:val="430" w:hRule="atLeast"/>
          <w:jc w:val="center"/>
        </w:trPr>
        <w:tc>
          <w:tcPr>
            <w:tcW w:w="3113" w:type="dxa"/>
            <w:tcBorders>
              <w:top w:val="nil"/>
              <w:left w:val="single" w:color="auto" w:sz="8" w:space="0"/>
              <w:bottom w:val="single" w:color="auto" w:sz="8" w:space="0"/>
              <w:right w:val="single" w:color="auto" w:sz="8" w:space="0"/>
            </w:tcBorders>
            <w:shd w:val="clear" w:color="auto" w:fill="auto"/>
            <w:noWrap/>
            <w:tcMar>
              <w:left w:w="108" w:type="dxa"/>
              <w:right w:w="108" w:type="dxa"/>
            </w:tcMar>
            <w:vAlign w:val="center"/>
          </w:tcPr>
          <w:p>
            <w:pPr>
              <w:jc w:val="both"/>
              <w:rPr>
                <w:rFonts w:hint="eastAsia" w:ascii="宋体"/>
                <w:sz w:val="20"/>
                <w:szCs w:val="20"/>
                <w:lang w:val="en-US" w:eastAsia="zh-CN"/>
              </w:rPr>
            </w:pPr>
            <w:r>
              <w:rPr>
                <w:rFonts w:hint="eastAsia" w:ascii="宋体"/>
                <w:sz w:val="20"/>
                <w:szCs w:val="20"/>
                <w:lang w:val="en-US" w:eastAsia="zh-CN"/>
              </w:rPr>
              <w:t>行政处罚</w:t>
            </w:r>
          </w:p>
        </w:tc>
        <w:tc>
          <w:tcPr>
            <w:tcW w:w="1869" w:type="dxa"/>
            <w:tcBorders>
              <w:top w:val="nil"/>
              <w:left w:val="nil"/>
              <w:bottom w:val="single" w:color="auto" w:sz="8" w:space="0"/>
              <w:right w:val="single" w:color="auto" w:sz="8" w:space="0"/>
            </w:tcBorders>
            <w:shd w:val="clear" w:color="auto" w:fill="auto"/>
            <w:noWrap/>
            <w:tcMar>
              <w:left w:w="108" w:type="dxa"/>
              <w:right w:w="108" w:type="dxa"/>
            </w:tcMar>
            <w:vAlign w:val="center"/>
          </w:tcPr>
          <w:p>
            <w:pPr>
              <w:jc w:val="center"/>
              <w:rPr>
                <w:rFonts w:hint="default" w:ascii="宋体"/>
                <w:sz w:val="20"/>
                <w:szCs w:val="20"/>
                <w:lang w:val="en-US" w:eastAsia="zh-CN"/>
              </w:rPr>
            </w:pPr>
            <w:r>
              <w:rPr>
                <w:rFonts w:hint="eastAsia" w:ascii="宋体"/>
                <w:sz w:val="20"/>
                <w:szCs w:val="20"/>
                <w:lang w:val="en-US" w:eastAsia="zh-CN"/>
              </w:rPr>
              <w:t>　0</w:t>
            </w:r>
          </w:p>
        </w:tc>
        <w:tc>
          <w:tcPr>
            <w:tcW w:w="1277" w:type="dxa"/>
            <w:tcBorders>
              <w:top w:val="nil"/>
              <w:left w:val="nil"/>
              <w:bottom w:val="single" w:color="auto" w:sz="8" w:space="0"/>
              <w:right w:val="single" w:color="auto" w:sz="8" w:space="0"/>
            </w:tcBorders>
            <w:shd w:val="clear" w:color="auto" w:fill="auto"/>
            <w:noWrap/>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　</w:t>
            </w:r>
          </w:p>
        </w:tc>
        <w:tc>
          <w:tcPr>
            <w:tcW w:w="1881" w:type="dxa"/>
            <w:tcBorders>
              <w:top w:val="nil"/>
              <w:left w:val="nil"/>
              <w:bottom w:val="single" w:color="auto" w:sz="8" w:space="0"/>
              <w:right w:val="single" w:color="auto" w:sz="8" w:space="0"/>
            </w:tcBorders>
            <w:shd w:val="clear" w:color="auto" w:fill="auto"/>
            <w:noWrap/>
            <w:tcMar>
              <w:left w:w="108" w:type="dxa"/>
              <w:right w:w="108" w:type="dxa"/>
            </w:tcMar>
            <w:vAlign w:val="center"/>
          </w:tcPr>
          <w:p>
            <w:pPr>
              <w:jc w:val="center"/>
              <w:rPr>
                <w:rFonts w:hint="default" w:ascii="宋体"/>
                <w:sz w:val="20"/>
                <w:szCs w:val="20"/>
                <w:lang w:val="en-US" w:eastAsia="zh-CN"/>
              </w:rPr>
            </w:pPr>
            <w:r>
              <w:rPr>
                <w:rFonts w:hint="eastAsia" w:ascii="宋体"/>
                <w:sz w:val="20"/>
                <w:szCs w:val="20"/>
                <w:lang w:val="en-US" w:eastAsia="zh-CN"/>
              </w:rPr>
              <w:t>　0</w:t>
            </w:r>
          </w:p>
        </w:tc>
      </w:tr>
      <w:tr>
        <w:tblPrEx>
          <w:shd w:val="clear" w:color="auto" w:fill="auto"/>
          <w:tblCellMar>
            <w:top w:w="0" w:type="dxa"/>
            <w:left w:w="0" w:type="dxa"/>
            <w:bottom w:w="0" w:type="dxa"/>
            <w:right w:w="0" w:type="dxa"/>
          </w:tblCellMar>
        </w:tblPrEx>
        <w:trPr>
          <w:trHeight w:val="409" w:hRule="atLeast"/>
          <w:jc w:val="center"/>
        </w:trPr>
        <w:tc>
          <w:tcPr>
            <w:tcW w:w="3113" w:type="dxa"/>
            <w:tcBorders>
              <w:top w:val="nil"/>
              <w:left w:val="single" w:color="auto" w:sz="8" w:space="0"/>
              <w:bottom w:val="single" w:color="auto" w:sz="8" w:space="0"/>
              <w:right w:val="single" w:color="auto" w:sz="8" w:space="0"/>
            </w:tcBorders>
            <w:shd w:val="clear" w:color="auto" w:fill="auto"/>
            <w:noWrap/>
            <w:tcMar>
              <w:left w:w="108" w:type="dxa"/>
              <w:right w:w="108" w:type="dxa"/>
            </w:tcMar>
            <w:vAlign w:val="center"/>
          </w:tcPr>
          <w:p>
            <w:pPr>
              <w:jc w:val="both"/>
              <w:rPr>
                <w:rFonts w:hint="eastAsia" w:ascii="宋体"/>
                <w:sz w:val="20"/>
                <w:szCs w:val="20"/>
                <w:lang w:val="en-US" w:eastAsia="zh-CN"/>
              </w:rPr>
            </w:pPr>
            <w:r>
              <w:rPr>
                <w:rFonts w:hint="eastAsia" w:ascii="宋体"/>
                <w:sz w:val="20"/>
                <w:szCs w:val="20"/>
                <w:lang w:val="en-US" w:eastAsia="zh-CN"/>
              </w:rPr>
              <w:t>行政强制</w:t>
            </w:r>
          </w:p>
        </w:tc>
        <w:tc>
          <w:tcPr>
            <w:tcW w:w="1869" w:type="dxa"/>
            <w:tcBorders>
              <w:top w:val="nil"/>
              <w:left w:val="nil"/>
              <w:bottom w:val="single" w:color="auto" w:sz="8" w:space="0"/>
              <w:right w:val="single" w:color="auto" w:sz="8" w:space="0"/>
            </w:tcBorders>
            <w:shd w:val="clear" w:color="auto" w:fill="auto"/>
            <w:noWrap/>
            <w:tcMar>
              <w:left w:w="108" w:type="dxa"/>
              <w:right w:w="108" w:type="dxa"/>
            </w:tcMar>
            <w:vAlign w:val="center"/>
          </w:tcPr>
          <w:p>
            <w:pPr>
              <w:jc w:val="center"/>
              <w:rPr>
                <w:rFonts w:hint="default" w:ascii="宋体"/>
                <w:sz w:val="20"/>
                <w:szCs w:val="20"/>
                <w:lang w:val="en-US" w:eastAsia="zh-CN"/>
              </w:rPr>
            </w:pPr>
            <w:r>
              <w:rPr>
                <w:rFonts w:hint="eastAsia" w:ascii="宋体"/>
                <w:sz w:val="20"/>
                <w:szCs w:val="20"/>
                <w:lang w:val="en-US" w:eastAsia="zh-CN"/>
              </w:rPr>
              <w:t>　0</w:t>
            </w:r>
          </w:p>
        </w:tc>
        <w:tc>
          <w:tcPr>
            <w:tcW w:w="1277" w:type="dxa"/>
            <w:tcBorders>
              <w:top w:val="nil"/>
              <w:left w:val="nil"/>
              <w:bottom w:val="single" w:color="auto" w:sz="8" w:space="0"/>
              <w:right w:val="single" w:color="auto" w:sz="8" w:space="0"/>
            </w:tcBorders>
            <w:shd w:val="clear" w:color="auto" w:fill="auto"/>
            <w:noWrap/>
            <w:tcMar>
              <w:left w:w="108" w:type="dxa"/>
              <w:right w:w="108" w:type="dxa"/>
            </w:tcMar>
            <w:vAlign w:val="center"/>
          </w:tcPr>
          <w:p>
            <w:pPr>
              <w:jc w:val="center"/>
              <w:rPr>
                <w:rFonts w:hint="default" w:ascii="宋体"/>
                <w:sz w:val="20"/>
                <w:szCs w:val="20"/>
                <w:lang w:val="en-US" w:eastAsia="zh-CN"/>
              </w:rPr>
            </w:pPr>
            <w:r>
              <w:rPr>
                <w:rFonts w:hint="eastAsia" w:ascii="宋体"/>
                <w:sz w:val="20"/>
                <w:szCs w:val="20"/>
                <w:lang w:val="en-US" w:eastAsia="zh-CN"/>
              </w:rPr>
              <w:t>0</w:t>
            </w:r>
          </w:p>
        </w:tc>
        <w:tc>
          <w:tcPr>
            <w:tcW w:w="1881" w:type="dxa"/>
            <w:tcBorders>
              <w:top w:val="nil"/>
              <w:left w:val="nil"/>
              <w:bottom w:val="single" w:color="auto" w:sz="8" w:space="0"/>
              <w:right w:val="single" w:color="auto" w:sz="8" w:space="0"/>
            </w:tcBorders>
            <w:shd w:val="clear" w:color="auto" w:fill="auto"/>
            <w:noWrap/>
            <w:tcMar>
              <w:left w:w="108" w:type="dxa"/>
              <w:right w:w="108" w:type="dxa"/>
            </w:tcMar>
            <w:vAlign w:val="center"/>
          </w:tcPr>
          <w:p>
            <w:pPr>
              <w:jc w:val="center"/>
              <w:rPr>
                <w:rFonts w:hint="default" w:ascii="宋体"/>
                <w:sz w:val="20"/>
                <w:szCs w:val="20"/>
                <w:lang w:val="en-US" w:eastAsia="zh-CN"/>
              </w:rPr>
            </w:pPr>
            <w:r>
              <w:rPr>
                <w:rFonts w:hint="eastAsia" w:ascii="宋体"/>
                <w:sz w:val="20"/>
                <w:szCs w:val="20"/>
                <w:lang w:val="en-US" w:eastAsia="zh-CN"/>
              </w:rPr>
              <w:t>　0</w:t>
            </w:r>
          </w:p>
        </w:tc>
      </w:tr>
      <w:tr>
        <w:tblPrEx>
          <w:tblCellMar>
            <w:top w:w="0" w:type="dxa"/>
            <w:left w:w="0" w:type="dxa"/>
            <w:bottom w:w="0" w:type="dxa"/>
            <w:right w:w="0" w:type="dxa"/>
          </w:tblCellMar>
        </w:tblPrEx>
        <w:trPr>
          <w:trHeight w:val="474" w:hRule="atLeast"/>
          <w:jc w:val="center"/>
        </w:trPr>
        <w:tc>
          <w:tcPr>
            <w:tcW w:w="8140" w:type="dxa"/>
            <w:gridSpan w:val="4"/>
            <w:tcBorders>
              <w:top w:val="nil"/>
              <w:left w:val="single" w:color="auto" w:sz="8" w:space="0"/>
              <w:bottom w:val="single" w:color="auto" w:sz="8" w:space="0"/>
              <w:right w:val="single" w:color="auto" w:sz="8" w:space="0"/>
            </w:tcBorders>
            <w:shd w:val="clear" w:color="auto" w:fill="C6D9F1"/>
            <w:noWrap/>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第二十条第（八）项</w:t>
            </w:r>
          </w:p>
        </w:tc>
      </w:tr>
      <w:tr>
        <w:tblPrEx>
          <w:shd w:val="clear" w:color="auto" w:fill="auto"/>
          <w:tblCellMar>
            <w:top w:w="0" w:type="dxa"/>
            <w:left w:w="0" w:type="dxa"/>
            <w:bottom w:w="0" w:type="dxa"/>
            <w:right w:w="0" w:type="dxa"/>
          </w:tblCellMar>
        </w:tblPrEx>
        <w:trPr>
          <w:trHeight w:val="270" w:hRule="atLeast"/>
          <w:jc w:val="center"/>
        </w:trPr>
        <w:tc>
          <w:tcPr>
            <w:tcW w:w="3113" w:type="dxa"/>
            <w:tcBorders>
              <w:top w:val="nil"/>
              <w:left w:val="single" w:color="auto" w:sz="8" w:space="0"/>
              <w:bottom w:val="single" w:color="auto" w:sz="8" w:space="0"/>
              <w:right w:val="single" w:color="auto" w:sz="8" w:space="0"/>
            </w:tcBorders>
            <w:shd w:val="clear" w:color="auto" w:fill="auto"/>
            <w:noWrap/>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信息内容</w:t>
            </w:r>
          </w:p>
        </w:tc>
        <w:tc>
          <w:tcPr>
            <w:tcW w:w="1869" w:type="dxa"/>
            <w:tcBorders>
              <w:top w:val="nil"/>
              <w:left w:val="nil"/>
              <w:bottom w:val="single" w:color="auto" w:sz="8" w:space="0"/>
              <w:right w:val="single" w:color="auto" w:sz="8" w:space="0"/>
            </w:tcBorders>
            <w:shd w:val="clear" w:color="auto" w:fill="auto"/>
            <w:noWrap/>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上一年项目数量</w:t>
            </w:r>
          </w:p>
        </w:tc>
        <w:tc>
          <w:tcPr>
            <w:tcW w:w="3158" w:type="dxa"/>
            <w:gridSpan w:val="2"/>
            <w:tcBorders>
              <w:top w:val="single" w:color="auto" w:sz="8" w:space="0"/>
              <w:left w:val="nil"/>
              <w:bottom w:val="single" w:color="auto" w:sz="8" w:space="0"/>
              <w:right w:val="single" w:color="000000" w:sz="8" w:space="0"/>
            </w:tcBorders>
            <w:shd w:val="clear" w:color="auto" w:fill="auto"/>
            <w:noWrap/>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本年增/减</w:t>
            </w:r>
          </w:p>
        </w:tc>
      </w:tr>
      <w:tr>
        <w:tblPrEx>
          <w:tblCellMar>
            <w:top w:w="0" w:type="dxa"/>
            <w:left w:w="0" w:type="dxa"/>
            <w:bottom w:w="0" w:type="dxa"/>
            <w:right w:w="0" w:type="dxa"/>
          </w:tblCellMar>
        </w:tblPrEx>
        <w:trPr>
          <w:trHeight w:val="551" w:hRule="atLeast"/>
          <w:jc w:val="center"/>
        </w:trPr>
        <w:tc>
          <w:tcPr>
            <w:tcW w:w="3113" w:type="dxa"/>
            <w:tcBorders>
              <w:top w:val="nil"/>
              <w:left w:val="single" w:color="auto" w:sz="8" w:space="0"/>
              <w:bottom w:val="single" w:color="auto" w:sz="8" w:space="0"/>
              <w:right w:val="single" w:color="auto" w:sz="8" w:space="0"/>
            </w:tcBorders>
            <w:shd w:val="clear" w:color="auto" w:fill="auto"/>
            <w:noWrap/>
            <w:tcMar>
              <w:left w:w="108" w:type="dxa"/>
              <w:right w:w="108" w:type="dxa"/>
            </w:tcMar>
            <w:vAlign w:val="center"/>
          </w:tcPr>
          <w:p>
            <w:pPr>
              <w:jc w:val="left"/>
              <w:rPr>
                <w:rFonts w:hint="eastAsia" w:ascii="宋体"/>
                <w:sz w:val="20"/>
                <w:szCs w:val="20"/>
                <w:lang w:val="en-US" w:eastAsia="zh-CN"/>
              </w:rPr>
            </w:pPr>
            <w:r>
              <w:rPr>
                <w:rFonts w:hint="eastAsia" w:ascii="宋体"/>
                <w:sz w:val="20"/>
                <w:szCs w:val="20"/>
                <w:lang w:val="en-US" w:eastAsia="zh-CN"/>
              </w:rPr>
              <w:t>行政事业性收费</w:t>
            </w:r>
          </w:p>
        </w:tc>
        <w:tc>
          <w:tcPr>
            <w:tcW w:w="1869" w:type="dxa"/>
            <w:tcBorders>
              <w:top w:val="nil"/>
              <w:left w:val="nil"/>
              <w:bottom w:val="single" w:color="auto" w:sz="8" w:space="0"/>
              <w:right w:val="single" w:color="auto" w:sz="8" w:space="0"/>
            </w:tcBorders>
            <w:shd w:val="clear" w:color="auto" w:fill="auto"/>
            <w:noWrap/>
            <w:tcMar>
              <w:left w:w="108" w:type="dxa"/>
              <w:right w:w="108" w:type="dxa"/>
            </w:tcMar>
            <w:vAlign w:val="center"/>
          </w:tcPr>
          <w:p>
            <w:pPr>
              <w:jc w:val="center"/>
              <w:rPr>
                <w:rFonts w:hint="default" w:ascii="宋体"/>
                <w:sz w:val="20"/>
                <w:szCs w:val="20"/>
                <w:lang w:val="en-US" w:eastAsia="zh-CN"/>
              </w:rPr>
            </w:pPr>
            <w:r>
              <w:rPr>
                <w:rFonts w:hint="eastAsia" w:ascii="宋体"/>
                <w:sz w:val="20"/>
                <w:szCs w:val="20"/>
                <w:lang w:val="en-US" w:eastAsia="zh-CN"/>
              </w:rPr>
              <w:t>　0</w:t>
            </w:r>
          </w:p>
        </w:tc>
        <w:tc>
          <w:tcPr>
            <w:tcW w:w="3158" w:type="dxa"/>
            <w:gridSpan w:val="2"/>
            <w:tcBorders>
              <w:top w:val="nil"/>
              <w:left w:val="nil"/>
              <w:bottom w:val="single" w:color="auto" w:sz="8" w:space="0"/>
              <w:right w:val="single" w:color="000000" w:sz="8" w:space="0"/>
            </w:tcBorders>
            <w:shd w:val="clear" w:color="auto" w:fill="auto"/>
            <w:noWrap/>
            <w:tcMar>
              <w:left w:w="108" w:type="dxa"/>
              <w:right w:w="108" w:type="dxa"/>
            </w:tcMar>
            <w:vAlign w:val="center"/>
          </w:tcPr>
          <w:p>
            <w:pPr>
              <w:jc w:val="center"/>
              <w:rPr>
                <w:rFonts w:hint="default" w:ascii="宋体"/>
                <w:sz w:val="20"/>
                <w:szCs w:val="20"/>
                <w:lang w:val="en-US" w:eastAsia="zh-CN"/>
              </w:rPr>
            </w:pPr>
            <w:r>
              <w:rPr>
                <w:rFonts w:hint="eastAsia" w:ascii="宋体"/>
                <w:sz w:val="20"/>
                <w:szCs w:val="20"/>
                <w:lang w:val="en-US" w:eastAsia="zh-CN"/>
              </w:rPr>
              <w:t> 0</w:t>
            </w:r>
          </w:p>
        </w:tc>
      </w:tr>
      <w:tr>
        <w:tblPrEx>
          <w:shd w:val="clear" w:color="auto" w:fill="auto"/>
          <w:tblCellMar>
            <w:top w:w="0" w:type="dxa"/>
            <w:left w:w="0" w:type="dxa"/>
            <w:bottom w:w="0" w:type="dxa"/>
            <w:right w:w="0" w:type="dxa"/>
          </w:tblCellMar>
        </w:tblPrEx>
        <w:trPr>
          <w:trHeight w:val="476" w:hRule="atLeast"/>
          <w:jc w:val="center"/>
        </w:trPr>
        <w:tc>
          <w:tcPr>
            <w:tcW w:w="8140" w:type="dxa"/>
            <w:gridSpan w:val="4"/>
            <w:tcBorders>
              <w:top w:val="nil"/>
              <w:left w:val="single" w:color="auto" w:sz="8" w:space="0"/>
              <w:bottom w:val="single" w:color="auto" w:sz="8" w:space="0"/>
              <w:right w:val="single" w:color="auto" w:sz="8" w:space="0"/>
            </w:tcBorders>
            <w:shd w:val="clear" w:color="auto" w:fill="C6D9F1"/>
            <w:noWrap/>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第二十条第（九）项</w:t>
            </w:r>
          </w:p>
        </w:tc>
      </w:tr>
      <w:tr>
        <w:tblPrEx>
          <w:shd w:val="clear" w:color="auto" w:fill="auto"/>
          <w:tblCellMar>
            <w:top w:w="0" w:type="dxa"/>
            <w:left w:w="0" w:type="dxa"/>
            <w:bottom w:w="0" w:type="dxa"/>
            <w:right w:w="0" w:type="dxa"/>
          </w:tblCellMar>
        </w:tblPrEx>
        <w:trPr>
          <w:trHeight w:val="585" w:hRule="atLeast"/>
          <w:jc w:val="center"/>
        </w:trPr>
        <w:tc>
          <w:tcPr>
            <w:tcW w:w="3113" w:type="dxa"/>
            <w:tcBorders>
              <w:top w:val="nil"/>
              <w:left w:val="single" w:color="auto" w:sz="8" w:space="0"/>
              <w:bottom w:val="single" w:color="auto" w:sz="8" w:space="0"/>
              <w:right w:val="single" w:color="auto" w:sz="8" w:space="0"/>
            </w:tcBorders>
            <w:shd w:val="clear" w:color="auto" w:fill="auto"/>
            <w:noWrap/>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信息内容</w:t>
            </w:r>
          </w:p>
        </w:tc>
        <w:tc>
          <w:tcPr>
            <w:tcW w:w="1869" w:type="dxa"/>
            <w:tcBorders>
              <w:top w:val="nil"/>
              <w:left w:val="nil"/>
              <w:bottom w:val="single" w:color="auto" w:sz="8" w:space="0"/>
              <w:right w:val="single" w:color="auto" w:sz="8" w:space="0"/>
            </w:tcBorders>
            <w:shd w:val="clear" w:color="auto" w:fill="auto"/>
            <w:noWrap/>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采购项目数量</w:t>
            </w:r>
          </w:p>
        </w:tc>
        <w:tc>
          <w:tcPr>
            <w:tcW w:w="3158" w:type="dxa"/>
            <w:gridSpan w:val="2"/>
            <w:tcBorders>
              <w:top w:val="single" w:color="auto" w:sz="8" w:space="0"/>
              <w:left w:val="nil"/>
              <w:bottom w:val="single" w:color="auto" w:sz="8" w:space="0"/>
              <w:right w:val="single" w:color="000000" w:sz="8" w:space="0"/>
            </w:tcBorders>
            <w:shd w:val="clear" w:color="auto" w:fill="auto"/>
            <w:noWrap/>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采购总金额</w:t>
            </w:r>
          </w:p>
        </w:tc>
      </w:tr>
      <w:tr>
        <w:tblPrEx>
          <w:tblCellMar>
            <w:top w:w="0" w:type="dxa"/>
            <w:left w:w="0" w:type="dxa"/>
            <w:bottom w:w="0" w:type="dxa"/>
            <w:right w:w="0" w:type="dxa"/>
          </w:tblCellMar>
        </w:tblPrEx>
        <w:trPr>
          <w:trHeight w:val="539" w:hRule="atLeast"/>
          <w:jc w:val="center"/>
        </w:trPr>
        <w:tc>
          <w:tcPr>
            <w:tcW w:w="3113" w:type="dxa"/>
            <w:tcBorders>
              <w:top w:val="nil"/>
              <w:left w:val="single" w:color="auto" w:sz="8" w:space="0"/>
              <w:bottom w:val="single" w:color="auto" w:sz="8" w:space="0"/>
              <w:right w:val="single" w:color="auto" w:sz="8" w:space="0"/>
            </w:tcBorders>
            <w:shd w:val="clear" w:color="auto" w:fill="auto"/>
            <w:noWrap/>
            <w:tcMar>
              <w:left w:w="108" w:type="dxa"/>
              <w:right w:w="108" w:type="dxa"/>
            </w:tcMar>
            <w:vAlign w:val="center"/>
          </w:tcPr>
          <w:p>
            <w:pPr>
              <w:jc w:val="left"/>
              <w:rPr>
                <w:rFonts w:hint="eastAsia" w:ascii="宋体"/>
                <w:sz w:val="20"/>
                <w:szCs w:val="20"/>
                <w:lang w:val="en-US" w:eastAsia="zh-CN"/>
              </w:rPr>
            </w:pPr>
            <w:r>
              <w:rPr>
                <w:rFonts w:hint="eastAsia" w:ascii="宋体"/>
                <w:sz w:val="20"/>
                <w:szCs w:val="20"/>
                <w:lang w:val="en-US" w:eastAsia="zh-CN"/>
              </w:rPr>
              <w:t>政府集中采购</w:t>
            </w:r>
          </w:p>
        </w:tc>
        <w:tc>
          <w:tcPr>
            <w:tcW w:w="1869" w:type="dxa"/>
            <w:tcBorders>
              <w:top w:val="nil"/>
              <w:left w:val="nil"/>
              <w:bottom w:val="single" w:color="auto" w:sz="8" w:space="0"/>
              <w:right w:val="single" w:color="auto" w:sz="8" w:space="0"/>
            </w:tcBorders>
            <w:shd w:val="clear" w:color="auto" w:fill="auto"/>
            <w:noWrap/>
            <w:tcMar>
              <w:left w:w="108" w:type="dxa"/>
              <w:right w:w="108" w:type="dxa"/>
            </w:tcMar>
            <w:vAlign w:val="center"/>
          </w:tcPr>
          <w:p>
            <w:pPr>
              <w:jc w:val="center"/>
              <w:rPr>
                <w:rFonts w:hint="default" w:ascii="宋体"/>
                <w:sz w:val="20"/>
                <w:szCs w:val="20"/>
                <w:lang w:val="en-US" w:eastAsia="zh-CN"/>
              </w:rPr>
            </w:pPr>
            <w:r>
              <w:rPr>
                <w:rFonts w:hint="eastAsia" w:ascii="宋体"/>
                <w:sz w:val="20"/>
                <w:szCs w:val="20"/>
                <w:lang w:val="en-US" w:eastAsia="zh-CN"/>
              </w:rPr>
              <w:t>7</w:t>
            </w:r>
          </w:p>
        </w:tc>
        <w:tc>
          <w:tcPr>
            <w:tcW w:w="3158" w:type="dxa"/>
            <w:gridSpan w:val="2"/>
            <w:tcBorders>
              <w:top w:val="nil"/>
              <w:left w:val="nil"/>
              <w:bottom w:val="single" w:color="auto" w:sz="8" w:space="0"/>
              <w:right w:val="single" w:color="000000" w:sz="8" w:space="0"/>
            </w:tcBorders>
            <w:shd w:val="clear" w:color="auto" w:fill="auto"/>
            <w:noWrap/>
            <w:tcMar>
              <w:left w:w="108" w:type="dxa"/>
              <w:right w:w="108" w:type="dxa"/>
            </w:tcMar>
            <w:vAlign w:val="center"/>
          </w:tcPr>
          <w:p>
            <w:pPr>
              <w:jc w:val="center"/>
              <w:rPr>
                <w:rFonts w:hint="default" w:ascii="宋体" w:eastAsiaTheme="minorEastAsia"/>
                <w:sz w:val="20"/>
                <w:szCs w:val="20"/>
                <w:lang w:val="en-US" w:eastAsia="zh-CN"/>
              </w:rPr>
            </w:pPr>
            <w:r>
              <w:rPr>
                <w:rFonts w:hint="eastAsia" w:ascii="宋体"/>
                <w:sz w:val="20"/>
                <w:szCs w:val="20"/>
                <w:lang w:val="en-US" w:eastAsia="zh-CN"/>
              </w:rPr>
              <w:t>359.3万元</w:t>
            </w:r>
          </w:p>
        </w:tc>
      </w:tr>
    </w:tbl>
    <w:p>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78" w:lineRule="exact"/>
        <w:ind w:right="0" w:firstLine="640" w:firstLineChars="200"/>
        <w:textAlignment w:val="auto"/>
        <w:rPr>
          <w:rFonts w:hint="default" w:ascii="仿宋" w:hAnsi="仿宋" w:eastAsia="仿宋" w:cs="仿宋"/>
          <w:i w:val="0"/>
          <w:caps w:val="0"/>
          <w:color w:val="000000"/>
          <w:spacing w:val="0"/>
          <w:sz w:val="32"/>
          <w:szCs w:val="32"/>
          <w:lang w:val="en-US" w:eastAsia="zh-CN"/>
        </w:rPr>
      </w:pPr>
      <w:r>
        <w:rPr>
          <w:rFonts w:hint="eastAsia" w:ascii="仿宋" w:hAnsi="仿宋" w:eastAsia="仿宋" w:cs="仿宋"/>
          <w:i w:val="0"/>
          <w:caps w:val="0"/>
          <w:color w:val="000000"/>
          <w:spacing w:val="0"/>
          <w:sz w:val="32"/>
          <w:szCs w:val="32"/>
          <w:lang w:val="en-US" w:eastAsia="zh-CN"/>
        </w:rPr>
        <w:t>2020年主动公开政府信息规章、规范性文件无，行政许可、其他对外管理服务事项类无，行政处罚、行政强制类无，行政事业性收费类无，政府集中采购类共计7项涉及资金359.3万元。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0" w:firstLineChars="200"/>
        <w:jc w:val="both"/>
        <w:rPr>
          <w:rFonts w:hint="eastAsia" w:ascii="黑体" w:hAnsi="黑体" w:eastAsia="黑体" w:cs="黑体"/>
          <w:b w:val="0"/>
          <w:bCs/>
          <w:i w:val="0"/>
          <w:caps w:val="0"/>
          <w:color w:val="333333"/>
          <w:spacing w:val="0"/>
          <w:sz w:val="32"/>
          <w:szCs w:val="32"/>
          <w:shd w:val="clear" w:fill="FFFFFF"/>
        </w:rPr>
      </w:pPr>
      <w:r>
        <w:rPr>
          <w:rFonts w:hint="eastAsia" w:ascii="黑体" w:hAnsi="黑体" w:eastAsia="黑体" w:cs="黑体"/>
          <w:b w:val="0"/>
          <w:bCs/>
          <w:i w:val="0"/>
          <w:caps w:val="0"/>
          <w:color w:val="333333"/>
          <w:spacing w:val="0"/>
          <w:sz w:val="32"/>
          <w:szCs w:val="32"/>
          <w:shd w:val="clear" w:fill="FFFFFF"/>
        </w:rPr>
        <w:t>三、收到和处理政府信息公开申请情况</w:t>
      </w:r>
      <w:bookmarkStart w:id="0" w:name="_GoBack"/>
      <w:bookmarkEnd w:id="0"/>
    </w:p>
    <w:tbl>
      <w:tblPr>
        <w:tblStyle w:val="3"/>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616"/>
        <w:gridCol w:w="854"/>
        <w:gridCol w:w="2086"/>
        <w:gridCol w:w="813"/>
        <w:gridCol w:w="755"/>
        <w:gridCol w:w="755"/>
        <w:gridCol w:w="813"/>
        <w:gridCol w:w="973"/>
        <w:gridCol w:w="711"/>
        <w:gridCol w:w="695"/>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479" w:type="dxa"/>
            <w:gridSpan w:val="3"/>
            <w:vMerge w:val="restart"/>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kern w:val="0"/>
                <w:sz w:val="20"/>
                <w:szCs w:val="20"/>
                <w:lang w:val="en-US" w:eastAsia="zh-CN" w:bidi="ar"/>
              </w:rPr>
              <w:t>（本列数据的勾稽关系为：第一项加第二项之和，等于第三项加第四项之和）</w:t>
            </w:r>
          </w:p>
        </w:tc>
        <w:tc>
          <w:tcPr>
            <w:tcW w:w="5592" w:type="dxa"/>
            <w:gridSpan w:val="7"/>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申请人情况</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479" w:type="dxa"/>
            <w:gridSpan w:val="3"/>
            <w:vMerge w:val="continue"/>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825"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自然人</w:t>
            </w:r>
          </w:p>
        </w:tc>
        <w:tc>
          <w:tcPr>
            <w:tcW w:w="4065"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法人或其他组织</w:t>
            </w:r>
          </w:p>
        </w:tc>
        <w:tc>
          <w:tcPr>
            <w:tcW w:w="702"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3479" w:type="dxa"/>
            <w:gridSpan w:val="3"/>
            <w:vMerge w:val="continue"/>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825"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商业企业</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科研机构</w:t>
            </w:r>
          </w:p>
        </w:tc>
        <w:tc>
          <w:tcPr>
            <w:tcW w:w="82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社会公益组织</w:t>
            </w:r>
          </w:p>
        </w:tc>
        <w:tc>
          <w:tcPr>
            <w:tcW w:w="990"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法律服务机构</w:t>
            </w:r>
          </w:p>
        </w:tc>
        <w:tc>
          <w:tcPr>
            <w:tcW w:w="720"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其他</w:t>
            </w:r>
          </w:p>
        </w:tc>
        <w:tc>
          <w:tcPr>
            <w:tcW w:w="702"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479" w:type="dxa"/>
            <w:gridSpan w:val="3"/>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r>
              <w:rPr>
                <w:rFonts w:hint="eastAsia" w:ascii="宋体"/>
                <w:sz w:val="20"/>
                <w:szCs w:val="20"/>
                <w:lang w:val="en-US" w:eastAsia="zh-CN"/>
              </w:rPr>
              <w:t>一、本年新收政府信息公开申请数量</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default" w:ascii="宋体"/>
                <w:sz w:val="20"/>
                <w:szCs w:val="20"/>
                <w:lang w:val="en-US" w:eastAsia="zh-CN"/>
              </w:rPr>
            </w:pPr>
            <w:r>
              <w:rPr>
                <w:rFonts w:hint="eastAsia" w:ascii="宋体"/>
                <w:sz w:val="20"/>
                <w:szCs w:val="20"/>
                <w:lang w:val="en-US" w:eastAsia="zh-CN"/>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990"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20"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02"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479" w:type="dxa"/>
            <w:gridSpan w:val="3"/>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r>
              <w:rPr>
                <w:rFonts w:hint="eastAsia" w:ascii="宋体"/>
                <w:sz w:val="20"/>
                <w:szCs w:val="20"/>
                <w:lang w:val="en-US" w:eastAsia="zh-CN"/>
              </w:rPr>
              <w:t>二、上年结转政府信息公开申请数量</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990"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20"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02"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4"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r>
              <w:rPr>
                <w:rFonts w:hint="eastAsia" w:ascii="宋体"/>
                <w:sz w:val="20"/>
                <w:szCs w:val="20"/>
                <w:lang w:val="en-US" w:eastAsia="zh-CN"/>
              </w:rPr>
              <w:t>三、本年度办理结果</w:t>
            </w:r>
          </w:p>
        </w:tc>
        <w:tc>
          <w:tcPr>
            <w:tcW w:w="2985"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r>
              <w:rPr>
                <w:rFonts w:hint="eastAsia" w:ascii="宋体"/>
                <w:sz w:val="20"/>
                <w:szCs w:val="20"/>
                <w:lang w:val="en-US" w:eastAsia="zh-CN"/>
              </w:rPr>
              <w:t>（一）予以公开</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990"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20"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02"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49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p>
        </w:tc>
        <w:tc>
          <w:tcPr>
            <w:tcW w:w="2985"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r>
              <w:rPr>
                <w:rFonts w:hint="eastAsia" w:ascii="宋体"/>
                <w:sz w:val="20"/>
                <w:szCs w:val="20"/>
                <w:lang w:val="en-US" w:eastAsia="zh-CN"/>
              </w:rPr>
              <w:t>（二）部分公开（区分处理的，只计这一情形，不计其他情形）</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990"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20"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02"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49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p>
        </w:tc>
        <w:tc>
          <w:tcPr>
            <w:tcW w:w="855"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r>
              <w:rPr>
                <w:rFonts w:hint="eastAsia" w:ascii="宋体"/>
                <w:sz w:val="20"/>
                <w:szCs w:val="20"/>
                <w:lang w:val="en-US" w:eastAsia="zh-CN"/>
              </w:rPr>
              <w:t>（三）不予公开</w:t>
            </w:r>
          </w:p>
        </w:tc>
        <w:tc>
          <w:tcPr>
            <w:tcW w:w="2130" w:type="dxa"/>
            <w:tcBorders>
              <w:top w:val="nil"/>
              <w:left w:val="nil"/>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r>
              <w:rPr>
                <w:rFonts w:hint="eastAsia" w:ascii="宋体"/>
                <w:sz w:val="20"/>
                <w:szCs w:val="20"/>
                <w:lang w:val="en-US" w:eastAsia="zh-CN"/>
              </w:rPr>
              <w:t>1.属于国家秘密</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990"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20"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02"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2499" w:hRule="atLeast"/>
          <w:jc w:val="center"/>
        </w:trPr>
        <w:tc>
          <w:tcPr>
            <w:tcW w:w="49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p>
        </w:tc>
        <w:tc>
          <w:tcPr>
            <w:tcW w:w="855"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p>
        </w:tc>
        <w:tc>
          <w:tcPr>
            <w:tcW w:w="2130" w:type="dxa"/>
            <w:tcBorders>
              <w:top w:val="nil"/>
              <w:left w:val="nil"/>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r>
              <w:rPr>
                <w:rFonts w:hint="eastAsia" w:ascii="宋体"/>
                <w:sz w:val="20"/>
                <w:szCs w:val="20"/>
                <w:lang w:val="en-US" w:eastAsia="zh-CN"/>
              </w:rPr>
              <w:t>2.其他法律行政法规禁止公开</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990"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20"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02"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49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p>
        </w:tc>
        <w:tc>
          <w:tcPr>
            <w:tcW w:w="855"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p>
        </w:tc>
        <w:tc>
          <w:tcPr>
            <w:tcW w:w="2130" w:type="dxa"/>
            <w:tcBorders>
              <w:top w:val="nil"/>
              <w:left w:val="nil"/>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r>
              <w:rPr>
                <w:rFonts w:hint="eastAsia" w:ascii="宋体"/>
                <w:sz w:val="20"/>
                <w:szCs w:val="20"/>
                <w:lang w:val="en-US" w:eastAsia="zh-CN"/>
              </w:rPr>
              <w:t>3.危及“三安全一稳定”</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990"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20"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02"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p>
        </w:tc>
        <w:tc>
          <w:tcPr>
            <w:tcW w:w="855"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p>
        </w:tc>
        <w:tc>
          <w:tcPr>
            <w:tcW w:w="2130" w:type="dxa"/>
            <w:tcBorders>
              <w:top w:val="nil"/>
              <w:left w:val="nil"/>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r>
              <w:rPr>
                <w:rFonts w:hint="eastAsia" w:ascii="宋体"/>
                <w:sz w:val="20"/>
                <w:szCs w:val="20"/>
                <w:lang w:val="en-US" w:eastAsia="zh-CN"/>
              </w:rPr>
              <w:t>4.保护第三方合法权益</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990"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20"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02"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p>
        </w:tc>
        <w:tc>
          <w:tcPr>
            <w:tcW w:w="855"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p>
        </w:tc>
        <w:tc>
          <w:tcPr>
            <w:tcW w:w="2130" w:type="dxa"/>
            <w:tcBorders>
              <w:top w:val="nil"/>
              <w:left w:val="nil"/>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r>
              <w:rPr>
                <w:rFonts w:hint="eastAsia" w:ascii="宋体"/>
                <w:sz w:val="20"/>
                <w:szCs w:val="20"/>
                <w:lang w:val="en-US" w:eastAsia="zh-CN"/>
              </w:rPr>
              <w:t>5.属于三类内部事务信息</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990"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20"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02"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49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p>
        </w:tc>
        <w:tc>
          <w:tcPr>
            <w:tcW w:w="855"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p>
        </w:tc>
        <w:tc>
          <w:tcPr>
            <w:tcW w:w="2130" w:type="dxa"/>
            <w:tcBorders>
              <w:top w:val="nil"/>
              <w:left w:val="nil"/>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r>
              <w:rPr>
                <w:rFonts w:hint="eastAsia" w:ascii="宋体"/>
                <w:sz w:val="20"/>
                <w:szCs w:val="20"/>
                <w:lang w:val="en-US" w:eastAsia="zh-CN"/>
              </w:rPr>
              <w:t>6.属于四类过程性信息</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990"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20"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02"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p>
        </w:tc>
        <w:tc>
          <w:tcPr>
            <w:tcW w:w="855"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p>
        </w:tc>
        <w:tc>
          <w:tcPr>
            <w:tcW w:w="2130" w:type="dxa"/>
            <w:tcBorders>
              <w:top w:val="nil"/>
              <w:left w:val="nil"/>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r>
              <w:rPr>
                <w:rFonts w:hint="eastAsia" w:ascii="宋体"/>
                <w:sz w:val="20"/>
                <w:szCs w:val="20"/>
                <w:lang w:val="en-US" w:eastAsia="zh-CN"/>
              </w:rPr>
              <w:t>7.属于行政执法案卷</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990"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20"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02"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p>
        </w:tc>
        <w:tc>
          <w:tcPr>
            <w:tcW w:w="855"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p>
        </w:tc>
        <w:tc>
          <w:tcPr>
            <w:tcW w:w="2130" w:type="dxa"/>
            <w:tcBorders>
              <w:top w:val="nil"/>
              <w:left w:val="nil"/>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r>
              <w:rPr>
                <w:rFonts w:hint="eastAsia" w:ascii="宋体"/>
                <w:sz w:val="20"/>
                <w:szCs w:val="20"/>
                <w:lang w:val="en-US" w:eastAsia="zh-CN"/>
              </w:rPr>
              <w:t>8.属于行政查询事项</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990"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20"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02"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49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p>
        </w:tc>
        <w:tc>
          <w:tcPr>
            <w:tcW w:w="855"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r>
              <w:rPr>
                <w:rFonts w:hint="eastAsia" w:ascii="宋体"/>
                <w:sz w:val="20"/>
                <w:szCs w:val="20"/>
                <w:lang w:val="en-US" w:eastAsia="zh-CN"/>
              </w:rPr>
              <w:t>（四）无法提供</w:t>
            </w:r>
          </w:p>
        </w:tc>
        <w:tc>
          <w:tcPr>
            <w:tcW w:w="2130" w:type="dxa"/>
            <w:tcBorders>
              <w:top w:val="nil"/>
              <w:left w:val="nil"/>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r>
              <w:rPr>
                <w:rFonts w:hint="eastAsia" w:ascii="宋体"/>
                <w:sz w:val="20"/>
                <w:szCs w:val="20"/>
                <w:lang w:val="en-US" w:eastAsia="zh-CN"/>
              </w:rPr>
              <w:t>1.本机关不掌握相关政府信息</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990"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20"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02"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49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p>
        </w:tc>
        <w:tc>
          <w:tcPr>
            <w:tcW w:w="855"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p>
        </w:tc>
        <w:tc>
          <w:tcPr>
            <w:tcW w:w="2130" w:type="dxa"/>
            <w:tcBorders>
              <w:top w:val="nil"/>
              <w:left w:val="nil"/>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r>
              <w:rPr>
                <w:rFonts w:hint="eastAsia" w:ascii="宋体"/>
                <w:sz w:val="20"/>
                <w:szCs w:val="20"/>
                <w:lang w:val="en-US" w:eastAsia="zh-CN"/>
              </w:rPr>
              <w:t>2.没有现成信息需要另行制作</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990"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20"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02"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p>
        </w:tc>
        <w:tc>
          <w:tcPr>
            <w:tcW w:w="855"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p>
        </w:tc>
        <w:tc>
          <w:tcPr>
            <w:tcW w:w="2130" w:type="dxa"/>
            <w:tcBorders>
              <w:top w:val="nil"/>
              <w:left w:val="nil"/>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r>
              <w:rPr>
                <w:rFonts w:hint="eastAsia" w:ascii="宋体"/>
                <w:sz w:val="20"/>
                <w:szCs w:val="20"/>
                <w:lang w:val="en-US" w:eastAsia="zh-CN"/>
              </w:rPr>
              <w:t>3.补正后申请内容仍不明确</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990"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20"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02"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49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p>
        </w:tc>
        <w:tc>
          <w:tcPr>
            <w:tcW w:w="855"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r>
              <w:rPr>
                <w:rFonts w:hint="eastAsia" w:ascii="宋体"/>
                <w:sz w:val="20"/>
                <w:szCs w:val="20"/>
                <w:lang w:val="en-US" w:eastAsia="zh-CN"/>
              </w:rPr>
              <w:t>（五）不予处理</w:t>
            </w:r>
          </w:p>
        </w:tc>
        <w:tc>
          <w:tcPr>
            <w:tcW w:w="2130" w:type="dxa"/>
            <w:tcBorders>
              <w:top w:val="nil"/>
              <w:left w:val="nil"/>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r>
              <w:rPr>
                <w:rFonts w:hint="eastAsia" w:ascii="宋体"/>
                <w:sz w:val="20"/>
                <w:szCs w:val="20"/>
                <w:lang w:val="en-US" w:eastAsia="zh-CN"/>
              </w:rPr>
              <w:t>1.信访举报投诉类申请</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990"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20"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02"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49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p>
        </w:tc>
        <w:tc>
          <w:tcPr>
            <w:tcW w:w="855"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p>
        </w:tc>
        <w:tc>
          <w:tcPr>
            <w:tcW w:w="2130" w:type="dxa"/>
            <w:tcBorders>
              <w:top w:val="nil"/>
              <w:left w:val="nil"/>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r>
              <w:rPr>
                <w:rFonts w:hint="eastAsia" w:ascii="宋体"/>
                <w:sz w:val="20"/>
                <w:szCs w:val="20"/>
                <w:lang w:val="en-US" w:eastAsia="zh-CN"/>
              </w:rPr>
              <w:t>2.重复申请</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990"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20"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02"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p>
        </w:tc>
        <w:tc>
          <w:tcPr>
            <w:tcW w:w="855"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p>
        </w:tc>
        <w:tc>
          <w:tcPr>
            <w:tcW w:w="2130" w:type="dxa"/>
            <w:tcBorders>
              <w:top w:val="nil"/>
              <w:left w:val="nil"/>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r>
              <w:rPr>
                <w:rFonts w:hint="eastAsia" w:ascii="宋体"/>
                <w:sz w:val="20"/>
                <w:szCs w:val="20"/>
                <w:lang w:val="en-US" w:eastAsia="zh-CN"/>
              </w:rPr>
              <w:t>3.要求提供公开出版物</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990"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20"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02"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49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p>
        </w:tc>
        <w:tc>
          <w:tcPr>
            <w:tcW w:w="855"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p>
        </w:tc>
        <w:tc>
          <w:tcPr>
            <w:tcW w:w="2130" w:type="dxa"/>
            <w:tcBorders>
              <w:top w:val="nil"/>
              <w:left w:val="nil"/>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r>
              <w:rPr>
                <w:rFonts w:hint="eastAsia" w:ascii="宋体"/>
                <w:sz w:val="20"/>
                <w:szCs w:val="20"/>
                <w:lang w:val="en-US" w:eastAsia="zh-CN"/>
              </w:rPr>
              <w:t>4.无正当理由大量反复申请</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990"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20"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02"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p>
        </w:tc>
        <w:tc>
          <w:tcPr>
            <w:tcW w:w="855"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p>
        </w:tc>
        <w:tc>
          <w:tcPr>
            <w:tcW w:w="2130" w:type="dxa"/>
            <w:tcBorders>
              <w:top w:val="nil"/>
              <w:left w:val="nil"/>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r>
              <w:rPr>
                <w:rFonts w:hint="eastAsia" w:ascii="宋体"/>
                <w:sz w:val="20"/>
                <w:szCs w:val="20"/>
                <w:lang w:val="en-US" w:eastAsia="zh-CN"/>
              </w:rPr>
              <w:t>5.要求行政机关确认或重新出具已获取信息</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990"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20"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02"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p>
        </w:tc>
        <w:tc>
          <w:tcPr>
            <w:tcW w:w="2985"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r>
              <w:rPr>
                <w:rFonts w:hint="eastAsia" w:ascii="宋体"/>
                <w:sz w:val="20"/>
                <w:szCs w:val="20"/>
                <w:lang w:val="en-US" w:eastAsia="zh-CN"/>
              </w:rPr>
              <w:t>（六）其他处理</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990"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20"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02"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49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p>
        </w:tc>
        <w:tc>
          <w:tcPr>
            <w:tcW w:w="2985"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r>
              <w:rPr>
                <w:rFonts w:hint="eastAsia" w:ascii="宋体"/>
                <w:sz w:val="20"/>
                <w:szCs w:val="20"/>
                <w:lang w:val="en-US" w:eastAsia="zh-CN"/>
              </w:rPr>
              <w:t>（七）总计</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990"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20"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02"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479" w:type="dxa"/>
            <w:gridSpan w:val="3"/>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r>
              <w:rPr>
                <w:rFonts w:hint="eastAsia" w:ascii="宋体"/>
                <w:sz w:val="20"/>
                <w:szCs w:val="20"/>
                <w:lang w:val="en-US" w:eastAsia="zh-CN"/>
              </w:rPr>
              <w:t>四、结转下年度继续办理</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990"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20"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02"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r>
    </w:tbl>
    <w:p>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78" w:lineRule="exact"/>
        <w:ind w:left="0" w:right="0" w:firstLine="640" w:firstLineChars="200"/>
        <w:textAlignment w:val="auto"/>
        <w:rPr>
          <w:rFonts w:hint="default" w:ascii="仿宋_GB2312" w:hAnsi="仿宋_GB2312" w:eastAsia="仿宋_GB2312" w:cs="仿宋_GB2312"/>
          <w:i w:val="0"/>
          <w:caps w:val="0"/>
          <w:color w:val="000000"/>
          <w:spacing w:val="0"/>
          <w:sz w:val="32"/>
          <w:szCs w:val="32"/>
          <w:lang w:val="en-US" w:eastAsia="zh-CN"/>
        </w:rPr>
      </w:pPr>
      <w:r>
        <w:rPr>
          <w:rFonts w:hint="eastAsia" w:ascii="仿宋_GB2312" w:hAnsi="仿宋_GB2312" w:eastAsia="仿宋_GB2312" w:cs="仿宋_GB2312"/>
          <w:i w:val="0"/>
          <w:caps w:val="0"/>
          <w:color w:val="000000"/>
          <w:spacing w:val="0"/>
          <w:sz w:val="32"/>
          <w:szCs w:val="32"/>
          <w:lang w:val="en-US" w:eastAsia="zh-CN"/>
        </w:rPr>
        <w:t>2020年未收到政府信息公开申请。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0" w:firstLineChars="200"/>
        <w:jc w:val="both"/>
        <w:rPr>
          <w:rFonts w:hint="eastAsia" w:ascii="黑体" w:hAnsi="黑体" w:eastAsia="黑体" w:cs="黑体"/>
          <w:b w:val="0"/>
          <w:bCs/>
          <w:i w:val="0"/>
          <w:caps w:val="0"/>
          <w:color w:val="333333"/>
          <w:spacing w:val="0"/>
          <w:sz w:val="32"/>
          <w:szCs w:val="32"/>
          <w:shd w:val="clear" w:fill="FFFFFF"/>
        </w:rPr>
      </w:pPr>
      <w:r>
        <w:rPr>
          <w:rFonts w:hint="eastAsia" w:ascii="黑体" w:hAnsi="黑体" w:eastAsia="黑体" w:cs="黑体"/>
          <w:b w:val="0"/>
          <w:bCs/>
          <w:i w:val="0"/>
          <w:caps w:val="0"/>
          <w:color w:val="333333"/>
          <w:spacing w:val="0"/>
          <w:sz w:val="32"/>
          <w:szCs w:val="32"/>
          <w:shd w:val="clear" w:fill="FFFFFF"/>
        </w:rPr>
        <w:t>四、政府信息公开行政复议、行政诉讼情况</w:t>
      </w:r>
    </w:p>
    <w:tbl>
      <w:tblPr>
        <w:tblStyle w:val="3"/>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3074"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行政复议</w:t>
            </w:r>
          </w:p>
        </w:tc>
        <w:tc>
          <w:tcPr>
            <w:tcW w:w="5997" w:type="dxa"/>
            <w:gridSpan w:val="10"/>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604"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结果维持</w:t>
            </w:r>
          </w:p>
        </w:tc>
        <w:tc>
          <w:tcPr>
            <w:tcW w:w="604"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结果纠正</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其他结果</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尚未审结</w:t>
            </w:r>
          </w:p>
        </w:tc>
        <w:tc>
          <w:tcPr>
            <w:tcW w:w="658"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总计</w:t>
            </w:r>
          </w:p>
        </w:tc>
        <w:tc>
          <w:tcPr>
            <w:tcW w:w="2970"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未经复议直接起诉</w:t>
            </w:r>
          </w:p>
        </w:tc>
        <w:tc>
          <w:tcPr>
            <w:tcW w:w="3027"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60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p>
        </w:tc>
        <w:tc>
          <w:tcPr>
            <w:tcW w:w="604"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p>
        </w:tc>
        <w:tc>
          <w:tcPr>
            <w:tcW w:w="658"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结果维持</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结果纠正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其他结果</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尚未审结</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总计</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结果维持</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结果纠正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其他结果</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尚未审结</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604"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jc w:val="center"/>
              <w:rPr>
                <w:rFonts w:hint="default" w:ascii="宋体"/>
                <w:sz w:val="20"/>
                <w:szCs w:val="20"/>
                <w:lang w:val="en-US" w:eastAsia="zh-CN"/>
              </w:rPr>
            </w:pPr>
            <w:r>
              <w:rPr>
                <w:rFonts w:hint="default" w:ascii="宋体"/>
                <w:sz w:val="20"/>
                <w:szCs w:val="20"/>
                <w:lang w:val="en-US" w:eastAsia="zh-CN"/>
              </w:rPr>
              <w:t> </w:t>
            </w:r>
            <w:r>
              <w:rPr>
                <w:rFonts w:hint="eastAsia" w:ascii="宋体"/>
                <w:sz w:val="20"/>
                <w:szCs w:val="20"/>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default" w:ascii="宋体"/>
                <w:sz w:val="20"/>
                <w:szCs w:val="20"/>
                <w:lang w:val="en-US" w:eastAsia="zh-CN"/>
              </w:rPr>
              <w:t> </w:t>
            </w:r>
            <w:r>
              <w:rPr>
                <w:rFonts w:hint="eastAsia" w:ascii="宋体"/>
                <w:sz w:val="20"/>
                <w:szCs w:val="20"/>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default" w:ascii="宋体"/>
                <w:sz w:val="20"/>
                <w:szCs w:val="20"/>
                <w:lang w:val="en-US" w:eastAsia="zh-CN"/>
              </w:rPr>
              <w:t> </w:t>
            </w:r>
            <w:r>
              <w:rPr>
                <w:rFonts w:hint="eastAsia" w:ascii="宋体"/>
                <w:sz w:val="20"/>
                <w:szCs w:val="20"/>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default" w:ascii="宋体"/>
                <w:sz w:val="20"/>
                <w:szCs w:val="20"/>
                <w:lang w:val="en-US" w:eastAsia="zh-CN"/>
              </w:rPr>
              <w:t> </w:t>
            </w:r>
            <w:r>
              <w:rPr>
                <w:rFonts w:hint="eastAsia" w:ascii="宋体"/>
                <w:sz w:val="20"/>
                <w:szCs w:val="20"/>
                <w:lang w:val="en-US" w:eastAsia="zh-CN"/>
              </w:rPr>
              <w:t>0</w:t>
            </w:r>
          </w:p>
        </w:tc>
        <w:tc>
          <w:tcPr>
            <w:tcW w:w="658"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default" w:ascii="宋体"/>
                <w:sz w:val="20"/>
                <w:szCs w:val="20"/>
                <w:lang w:val="en-US" w:eastAsia="zh-CN"/>
              </w:rPr>
              <w:t> </w:t>
            </w:r>
            <w:r>
              <w:rPr>
                <w:rFonts w:hint="eastAsia" w:ascii="宋体"/>
                <w:sz w:val="20"/>
                <w:szCs w:val="20"/>
                <w:lang w:val="en-US" w:eastAsia="zh-CN"/>
              </w:rPr>
              <w:t>0</w:t>
            </w: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default" w:ascii="宋体"/>
                <w:sz w:val="20"/>
                <w:szCs w:val="20"/>
                <w:lang w:val="en-US" w:eastAsia="zh-CN"/>
              </w:rPr>
              <w:t> </w:t>
            </w:r>
            <w:r>
              <w:rPr>
                <w:rFonts w:hint="eastAsia" w:ascii="宋体"/>
                <w:sz w:val="20"/>
                <w:szCs w:val="20"/>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default" w:ascii="宋体"/>
                <w:sz w:val="20"/>
                <w:szCs w:val="20"/>
                <w:lang w:val="en-US" w:eastAsia="zh-CN"/>
              </w:rPr>
              <w:t> </w:t>
            </w:r>
            <w:r>
              <w:rPr>
                <w:rFonts w:hint="eastAsia" w:ascii="宋体"/>
                <w:sz w:val="20"/>
                <w:szCs w:val="20"/>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default" w:ascii="宋体"/>
                <w:sz w:val="20"/>
                <w:szCs w:val="20"/>
                <w:lang w:val="en-US" w:eastAsia="zh-CN"/>
              </w:rPr>
              <w:t> </w:t>
            </w:r>
            <w:r>
              <w:rPr>
                <w:rFonts w:hint="eastAsia" w:ascii="宋体"/>
                <w:sz w:val="20"/>
                <w:szCs w:val="20"/>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default" w:ascii="宋体"/>
                <w:sz w:val="20"/>
                <w:szCs w:val="20"/>
                <w:lang w:val="en-US" w:eastAsia="zh-CN"/>
              </w:rPr>
              <w:t> </w:t>
            </w:r>
            <w:r>
              <w:rPr>
                <w:rFonts w:hint="eastAsia" w:ascii="宋体"/>
                <w:sz w:val="20"/>
                <w:szCs w:val="20"/>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default" w:ascii="宋体"/>
                <w:sz w:val="20"/>
                <w:szCs w:val="20"/>
                <w:lang w:val="en-US" w:eastAsia="zh-CN"/>
              </w:rPr>
              <w:t> </w:t>
            </w:r>
            <w:r>
              <w:rPr>
                <w:rFonts w:hint="eastAsia" w:ascii="宋体"/>
                <w:sz w:val="20"/>
                <w:szCs w:val="20"/>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default" w:ascii="宋体"/>
                <w:sz w:val="20"/>
                <w:szCs w:val="20"/>
                <w:lang w:val="en-US" w:eastAsia="zh-CN"/>
              </w:rPr>
              <w:t> </w:t>
            </w:r>
            <w:r>
              <w:rPr>
                <w:rFonts w:hint="eastAsia" w:ascii="宋体"/>
                <w:sz w:val="20"/>
                <w:szCs w:val="20"/>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default" w:ascii="宋体"/>
                <w:sz w:val="20"/>
                <w:szCs w:val="20"/>
                <w:lang w:val="en-US" w:eastAsia="zh-CN"/>
              </w:rPr>
              <w:t> </w:t>
            </w:r>
            <w:r>
              <w:rPr>
                <w:rFonts w:hint="eastAsia" w:ascii="宋体"/>
                <w:sz w:val="20"/>
                <w:szCs w:val="20"/>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default" w:ascii="宋体"/>
                <w:sz w:val="20"/>
                <w:szCs w:val="20"/>
                <w:lang w:val="en-US" w:eastAsia="zh-CN"/>
              </w:rPr>
              <w:t> </w:t>
            </w:r>
            <w:r>
              <w:rPr>
                <w:rFonts w:hint="eastAsia" w:ascii="宋体"/>
                <w:sz w:val="20"/>
                <w:szCs w:val="20"/>
                <w:lang w:val="en-US" w:eastAsia="zh-CN"/>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default" w:ascii="宋体"/>
                <w:sz w:val="20"/>
                <w:szCs w:val="20"/>
                <w:lang w:val="en-US" w:eastAsia="zh-CN"/>
              </w:rPr>
              <w:t> </w:t>
            </w:r>
            <w:r>
              <w:rPr>
                <w:rFonts w:hint="eastAsia" w:ascii="宋体"/>
                <w:sz w:val="20"/>
                <w:szCs w:val="20"/>
                <w:lang w:val="en-US" w:eastAsia="zh-CN"/>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default" w:ascii="宋体"/>
                <w:sz w:val="20"/>
                <w:szCs w:val="20"/>
                <w:lang w:val="en-US" w:eastAsia="zh-CN"/>
              </w:rPr>
              <w:t> </w:t>
            </w:r>
            <w:r>
              <w:rPr>
                <w:rFonts w:hint="eastAsia" w:ascii="宋体"/>
                <w:sz w:val="20"/>
                <w:szCs w:val="20"/>
                <w:lang w:val="en-US" w:eastAsia="zh-CN"/>
              </w:rPr>
              <w:t>0</w:t>
            </w:r>
          </w:p>
        </w:tc>
      </w:tr>
    </w:tbl>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firstLineChars="200"/>
        <w:jc w:val="left"/>
        <w:rPr>
          <w:rFonts w:hint="default" w:ascii="宋体" w:hAnsi="宋体" w:eastAsia="黑体" w:cs="宋体"/>
          <w:i w:val="0"/>
          <w:caps w:val="0"/>
          <w:color w:val="333333"/>
          <w:spacing w:val="0"/>
          <w:sz w:val="24"/>
          <w:szCs w:val="24"/>
          <w:lang w:val="en-US" w:eastAsia="zh-CN"/>
        </w:rPr>
      </w:pPr>
      <w:r>
        <w:rPr>
          <w:rFonts w:hint="eastAsia" w:ascii="仿宋_GB2312" w:hAnsi="仿宋_GB2312" w:eastAsia="仿宋_GB2312" w:cs="仿宋_GB2312"/>
          <w:i w:val="0"/>
          <w:caps w:val="0"/>
          <w:color w:val="000000"/>
          <w:spacing w:val="0"/>
          <w:kern w:val="0"/>
          <w:sz w:val="32"/>
          <w:szCs w:val="32"/>
          <w:lang w:val="en-US" w:eastAsia="zh-CN" w:bidi="ar"/>
        </w:rPr>
        <w:t>2020年未收到行政复议、行政诉讼申请。</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right="0" w:firstLine="640" w:firstLineChars="200"/>
        <w:jc w:val="both"/>
        <w:textAlignment w:val="auto"/>
        <w:rPr>
          <w:rFonts w:hint="eastAsia" w:ascii="黑体" w:hAnsi="黑体" w:eastAsia="黑体" w:cs="黑体"/>
          <w:b w:val="0"/>
          <w:bCs/>
          <w:i w:val="0"/>
          <w:caps w:val="0"/>
          <w:color w:val="333333"/>
          <w:spacing w:val="0"/>
          <w:sz w:val="32"/>
          <w:szCs w:val="32"/>
          <w:shd w:val="clear" w:fill="FFFFFF"/>
        </w:rPr>
      </w:pPr>
      <w:r>
        <w:rPr>
          <w:rFonts w:hint="eastAsia" w:ascii="黑体" w:hAnsi="黑体" w:eastAsia="黑体" w:cs="黑体"/>
          <w:b w:val="0"/>
          <w:bCs/>
          <w:i w:val="0"/>
          <w:caps w:val="0"/>
          <w:color w:val="333333"/>
          <w:spacing w:val="0"/>
          <w:sz w:val="32"/>
          <w:szCs w:val="32"/>
          <w:shd w:val="clear" w:fill="FFFFFF"/>
        </w:rPr>
        <w:t>五、存在的主要问题及改进情况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right="0" w:firstLine="640" w:firstLineChars="200"/>
        <w:textAlignment w:val="auto"/>
        <w:rPr>
          <w:rFonts w:hint="eastAsia" w:ascii="仿宋_GB2312" w:hAnsi="仿宋_GB2312" w:eastAsia="仿宋_GB2312" w:cs="仿宋_GB2312"/>
          <w:i w:val="0"/>
          <w:caps w:val="0"/>
          <w:color w:val="000000"/>
          <w:spacing w:val="0"/>
          <w:sz w:val="32"/>
          <w:szCs w:val="32"/>
          <w:lang w:val="en-US" w:eastAsia="zh-CN"/>
        </w:rPr>
      </w:pPr>
      <w:r>
        <w:rPr>
          <w:rFonts w:hint="eastAsia" w:ascii="仿宋_GB2312" w:hAnsi="仿宋_GB2312" w:eastAsia="仿宋_GB2312" w:cs="仿宋_GB2312"/>
          <w:i w:val="0"/>
          <w:caps w:val="0"/>
          <w:color w:val="000000"/>
          <w:spacing w:val="0"/>
          <w:sz w:val="32"/>
          <w:szCs w:val="32"/>
          <w:lang w:val="en-US" w:eastAsia="zh-CN"/>
        </w:rPr>
        <w:t>2020年，博山镇政府信息公开工作方面， 在上级部门的督促领导下取得了一定进展和成效，但与全面落实 “公开为常态、不公开为例外”的原则要求，与保障人民群众知情、参与和监督的实际需求相比，还存在较大差距，主要表现为“四个不够”：</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right="0" w:firstLine="640" w:firstLineChars="200"/>
        <w:textAlignment w:val="auto"/>
        <w:rPr>
          <w:rFonts w:hint="eastAsia" w:ascii="仿宋_GB2312" w:hAnsi="仿宋_GB2312" w:eastAsia="仿宋_GB2312" w:cs="仿宋_GB2312"/>
          <w:i w:val="0"/>
          <w:caps w:val="0"/>
          <w:color w:val="000000"/>
          <w:spacing w:val="0"/>
          <w:sz w:val="32"/>
          <w:szCs w:val="32"/>
          <w:lang w:val="en-US" w:eastAsia="zh-CN"/>
        </w:rPr>
      </w:pPr>
      <w:r>
        <w:rPr>
          <w:rFonts w:hint="eastAsia" w:ascii="楷体" w:hAnsi="楷体" w:eastAsia="楷体" w:cs="楷体"/>
          <w:i w:val="0"/>
          <w:caps w:val="0"/>
          <w:color w:val="000000"/>
          <w:spacing w:val="0"/>
          <w:sz w:val="32"/>
          <w:szCs w:val="32"/>
          <w:lang w:val="en-US" w:eastAsia="zh-CN"/>
        </w:rPr>
        <w:t>一是制度建设还存在不足。</w:t>
      </w:r>
      <w:r>
        <w:rPr>
          <w:rFonts w:hint="eastAsia" w:ascii="仿宋_GB2312" w:hAnsi="仿宋_GB2312" w:eastAsia="仿宋_GB2312" w:cs="仿宋_GB2312"/>
          <w:i w:val="0"/>
          <w:caps w:val="0"/>
          <w:color w:val="000000"/>
          <w:spacing w:val="0"/>
          <w:sz w:val="32"/>
          <w:szCs w:val="32"/>
          <w:lang w:val="en-US" w:eastAsia="zh-CN"/>
        </w:rPr>
        <w:t>制度建设不够规范、健全，推进公开工作的标准化建设不够。</w:t>
      </w:r>
      <w:r>
        <w:rPr>
          <w:rFonts w:hint="eastAsia" w:ascii="楷体" w:hAnsi="楷体" w:eastAsia="楷体" w:cs="楷体"/>
          <w:i w:val="0"/>
          <w:caps w:val="0"/>
          <w:color w:val="000000"/>
          <w:spacing w:val="0"/>
          <w:sz w:val="32"/>
          <w:szCs w:val="32"/>
          <w:lang w:val="en-US" w:eastAsia="zh-CN"/>
        </w:rPr>
        <w:t>二是重点领域政府信息公开深度不够。</w:t>
      </w:r>
      <w:r>
        <w:rPr>
          <w:rFonts w:hint="eastAsia" w:ascii="仿宋_GB2312" w:hAnsi="仿宋_GB2312" w:eastAsia="仿宋_GB2312" w:cs="仿宋_GB2312"/>
          <w:i w:val="0"/>
          <w:caps w:val="0"/>
          <w:color w:val="000000"/>
          <w:spacing w:val="0"/>
          <w:sz w:val="32"/>
          <w:szCs w:val="32"/>
          <w:lang w:val="en-US" w:eastAsia="zh-CN"/>
        </w:rPr>
        <w:t>重点领域信息公开的范围不断扩大的同时，通过制订公开基本目录推进了公开内容的细化，但公开时效性不强、深度不够等问题仍然存在。</w:t>
      </w:r>
      <w:r>
        <w:rPr>
          <w:rFonts w:hint="eastAsia" w:ascii="楷体" w:hAnsi="楷体" w:eastAsia="楷体" w:cs="楷体"/>
          <w:i w:val="0"/>
          <w:caps w:val="0"/>
          <w:color w:val="000000"/>
          <w:spacing w:val="0"/>
          <w:sz w:val="32"/>
          <w:szCs w:val="32"/>
          <w:lang w:val="en-US" w:eastAsia="zh-CN"/>
        </w:rPr>
        <w:t>三是信息公开落实力度不够。</w:t>
      </w:r>
      <w:r>
        <w:rPr>
          <w:rFonts w:hint="eastAsia" w:ascii="仿宋_GB2312" w:hAnsi="仿宋_GB2312" w:eastAsia="仿宋_GB2312" w:cs="仿宋_GB2312"/>
          <w:i w:val="0"/>
          <w:caps w:val="0"/>
          <w:color w:val="000000"/>
          <w:spacing w:val="0"/>
          <w:sz w:val="32"/>
          <w:szCs w:val="32"/>
          <w:lang w:val="en-US" w:eastAsia="zh-CN"/>
        </w:rPr>
        <w:t>信息公开意识不强，与群众切身利益、方便群众办事、群众关心关注的信息公开不及时、不全面、不具体，公开方式单一化、陈旧化，与真正畅通联系群众“最后一公里”还有较大距离。</w:t>
      </w:r>
      <w:r>
        <w:rPr>
          <w:rFonts w:hint="eastAsia" w:ascii="楷体" w:hAnsi="楷体" w:eastAsia="楷体" w:cs="楷体"/>
          <w:i w:val="0"/>
          <w:caps w:val="0"/>
          <w:color w:val="000000"/>
          <w:spacing w:val="0"/>
          <w:sz w:val="32"/>
          <w:szCs w:val="32"/>
          <w:lang w:val="en-US" w:eastAsia="zh-CN"/>
        </w:rPr>
        <w:t>四是信息公开专业能力能不够。</w:t>
      </w:r>
      <w:r>
        <w:rPr>
          <w:rFonts w:hint="eastAsia" w:ascii="仿宋_GB2312" w:hAnsi="仿宋_GB2312" w:eastAsia="仿宋_GB2312" w:cs="仿宋_GB2312"/>
          <w:i w:val="0"/>
          <w:caps w:val="0"/>
          <w:color w:val="000000"/>
          <w:spacing w:val="0"/>
          <w:sz w:val="32"/>
          <w:szCs w:val="32"/>
          <w:lang w:val="en-US" w:eastAsia="zh-CN"/>
        </w:rPr>
        <w:t>信息公开专业化和理论化水平有待提高，对政策的把握能力不强，一定程度上制约了政府信息公开工作的深入推进。</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right="0" w:firstLine="640" w:firstLineChars="200"/>
        <w:textAlignment w:val="auto"/>
        <w:rPr>
          <w:rFonts w:hint="eastAsia" w:ascii="黑体" w:hAnsi="黑体" w:eastAsia="黑体" w:cs="黑体"/>
          <w:b w:val="0"/>
          <w:bCs w:val="0"/>
          <w:i w:val="0"/>
          <w:caps w:val="0"/>
          <w:color w:val="000000"/>
          <w:spacing w:val="0"/>
          <w:sz w:val="32"/>
          <w:szCs w:val="32"/>
          <w:lang w:val="en-US" w:eastAsia="zh-CN"/>
        </w:rPr>
      </w:pPr>
      <w:r>
        <w:rPr>
          <w:rFonts w:hint="eastAsia" w:ascii="黑体" w:hAnsi="黑体" w:eastAsia="黑体" w:cs="黑体"/>
          <w:b w:val="0"/>
          <w:bCs w:val="0"/>
          <w:i w:val="0"/>
          <w:caps w:val="0"/>
          <w:color w:val="000000"/>
          <w:spacing w:val="0"/>
          <w:sz w:val="32"/>
          <w:szCs w:val="32"/>
          <w:lang w:val="en-US" w:eastAsia="zh-CN"/>
        </w:rPr>
        <w:t>整改措施：</w:t>
      </w:r>
    </w:p>
    <w:p>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76" w:lineRule="exact"/>
        <w:ind w:left="0" w:right="0" w:firstLine="640" w:firstLineChars="200"/>
        <w:textAlignment w:val="auto"/>
        <w:rPr>
          <w:rFonts w:hint="eastAsia" w:ascii="仿宋_GB2312" w:hAnsi="仿宋_GB2312" w:eastAsia="仿宋_GB2312" w:cs="仿宋_GB2312"/>
          <w:i w:val="0"/>
          <w:caps w:val="0"/>
          <w:color w:val="000000"/>
          <w:spacing w:val="0"/>
          <w:sz w:val="32"/>
          <w:szCs w:val="32"/>
          <w:lang w:val="en-US" w:eastAsia="zh-CN"/>
        </w:rPr>
      </w:pPr>
      <w:r>
        <w:rPr>
          <w:rFonts w:hint="eastAsia" w:ascii="楷体" w:hAnsi="楷体" w:eastAsia="楷体" w:cs="楷体"/>
          <w:i w:val="0"/>
          <w:caps w:val="0"/>
          <w:color w:val="000000"/>
          <w:spacing w:val="0"/>
          <w:sz w:val="32"/>
          <w:szCs w:val="32"/>
          <w:lang w:val="en-US" w:eastAsia="zh-CN"/>
        </w:rPr>
        <w:t>一是进一步健全公开制度。继续</w:t>
      </w:r>
      <w:r>
        <w:rPr>
          <w:rFonts w:hint="eastAsia" w:ascii="仿宋_GB2312" w:hAnsi="仿宋_GB2312" w:eastAsia="仿宋_GB2312" w:cs="仿宋_GB2312"/>
          <w:i w:val="0"/>
          <w:caps w:val="0"/>
          <w:color w:val="000000"/>
          <w:spacing w:val="0"/>
          <w:sz w:val="32"/>
          <w:szCs w:val="32"/>
          <w:lang w:val="en-US" w:eastAsia="zh-CN"/>
        </w:rPr>
        <w:t>健全政府信息公开工作制度，推进政府信息公开标准化建设，继续完善更新政府信息公开基本目录。</w:t>
      </w:r>
    </w:p>
    <w:p>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76" w:lineRule="exact"/>
        <w:ind w:left="0" w:right="0" w:firstLine="640" w:firstLineChars="200"/>
        <w:textAlignment w:val="auto"/>
        <w:rPr>
          <w:rFonts w:hint="eastAsia" w:ascii="仿宋_GB2312" w:hAnsi="仿宋_GB2312" w:eastAsia="仿宋_GB2312" w:cs="仿宋_GB2312"/>
          <w:i w:val="0"/>
          <w:caps w:val="0"/>
          <w:color w:val="000000"/>
          <w:spacing w:val="0"/>
          <w:sz w:val="32"/>
          <w:szCs w:val="32"/>
          <w:lang w:val="en-US" w:eastAsia="zh-CN"/>
        </w:rPr>
      </w:pPr>
      <w:r>
        <w:rPr>
          <w:rFonts w:hint="eastAsia" w:ascii="楷体" w:hAnsi="楷体" w:eastAsia="楷体" w:cs="楷体"/>
          <w:i w:val="0"/>
          <w:caps w:val="0"/>
          <w:color w:val="000000"/>
          <w:spacing w:val="0"/>
          <w:sz w:val="32"/>
          <w:szCs w:val="32"/>
          <w:lang w:val="en-US" w:eastAsia="zh-CN"/>
        </w:rPr>
        <w:t>二是加强重点领域信息公开。</w:t>
      </w:r>
      <w:r>
        <w:rPr>
          <w:rFonts w:hint="eastAsia" w:ascii="仿宋_GB2312" w:hAnsi="仿宋_GB2312" w:eastAsia="仿宋_GB2312" w:cs="仿宋_GB2312"/>
          <w:i w:val="0"/>
          <w:caps w:val="0"/>
          <w:color w:val="000000"/>
          <w:spacing w:val="0"/>
          <w:sz w:val="32"/>
          <w:szCs w:val="32"/>
          <w:lang w:val="en-US" w:eastAsia="zh-CN"/>
        </w:rPr>
        <w:t>围绕群众关心的重点民生领域，切实提升公开质量和实效，更好地服务经济社会发展和民生改善。</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right="0" w:firstLine="640" w:firstLineChars="200"/>
        <w:textAlignment w:val="auto"/>
        <w:rPr>
          <w:rFonts w:hint="eastAsia" w:ascii="仿宋_GB2312" w:hAnsi="仿宋_GB2312" w:eastAsia="仿宋_GB2312" w:cs="仿宋_GB2312"/>
          <w:i w:val="0"/>
          <w:caps w:val="0"/>
          <w:color w:val="000000"/>
          <w:spacing w:val="0"/>
          <w:sz w:val="32"/>
          <w:szCs w:val="32"/>
          <w:lang w:val="en-US" w:eastAsia="zh-CN"/>
        </w:rPr>
      </w:pPr>
      <w:r>
        <w:rPr>
          <w:rFonts w:hint="eastAsia" w:ascii="楷体" w:hAnsi="楷体" w:eastAsia="楷体" w:cs="楷体"/>
          <w:i w:val="0"/>
          <w:caps w:val="0"/>
          <w:color w:val="000000"/>
          <w:spacing w:val="0"/>
          <w:sz w:val="32"/>
          <w:szCs w:val="32"/>
          <w:lang w:val="en-US" w:eastAsia="zh-CN"/>
        </w:rPr>
        <w:t>三是推进公开信息化建设。</w:t>
      </w:r>
      <w:r>
        <w:rPr>
          <w:rFonts w:hint="eastAsia" w:ascii="仿宋_GB2312" w:hAnsi="仿宋_GB2312" w:eastAsia="仿宋_GB2312" w:cs="仿宋_GB2312"/>
          <w:i w:val="0"/>
          <w:caps w:val="0"/>
          <w:color w:val="000000"/>
          <w:spacing w:val="0"/>
          <w:sz w:val="32"/>
          <w:szCs w:val="32"/>
          <w:lang w:val="en-US" w:eastAsia="zh-CN"/>
        </w:rPr>
        <w:t>积极加强网络媒体的开发利用，让群众更加便捷获取政府信息。</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right="0" w:firstLine="640" w:firstLineChars="200"/>
        <w:textAlignment w:val="auto"/>
        <w:rPr>
          <w:rFonts w:hint="eastAsia" w:ascii="仿宋_GB2312" w:hAnsi="仿宋_GB2312" w:eastAsia="仿宋_GB2312" w:cs="仿宋_GB2312"/>
          <w:i w:val="0"/>
          <w:caps w:val="0"/>
          <w:color w:val="000000"/>
          <w:spacing w:val="0"/>
          <w:sz w:val="32"/>
          <w:szCs w:val="32"/>
          <w:lang w:val="en-US" w:eastAsia="zh-CN"/>
        </w:rPr>
      </w:pPr>
      <w:r>
        <w:rPr>
          <w:rFonts w:hint="eastAsia" w:ascii="楷体" w:hAnsi="楷体" w:eastAsia="楷体" w:cs="楷体"/>
          <w:i w:val="0"/>
          <w:caps w:val="0"/>
          <w:color w:val="000000"/>
          <w:spacing w:val="0"/>
          <w:sz w:val="32"/>
          <w:szCs w:val="32"/>
          <w:lang w:val="en-US" w:eastAsia="zh-CN"/>
        </w:rPr>
        <w:t>四是扩大政务的群众参与。</w:t>
      </w:r>
      <w:r>
        <w:rPr>
          <w:rFonts w:hint="eastAsia" w:ascii="仿宋_GB2312" w:hAnsi="仿宋_GB2312" w:eastAsia="仿宋_GB2312" w:cs="仿宋_GB2312"/>
          <w:i w:val="0"/>
          <w:caps w:val="0"/>
          <w:color w:val="000000"/>
          <w:spacing w:val="0"/>
          <w:sz w:val="32"/>
          <w:szCs w:val="32"/>
          <w:lang w:val="en-US" w:eastAsia="zh-CN"/>
        </w:rPr>
        <w:t>积极推进通过政府信息公开让群众更大程度参与政府政策制定和社会治理，加强重大政务舆情回应工作，及时回应社会关切，通过政府信息公开搭建群众沟通渠道。</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right="0" w:firstLine="640" w:firstLineChars="200"/>
        <w:textAlignment w:val="auto"/>
        <w:rPr>
          <w:rFonts w:hint="eastAsia" w:ascii="仿宋_GB2312" w:hAnsi="仿宋_GB2312" w:eastAsia="仿宋_GB2312" w:cs="仿宋_GB2312"/>
          <w:i w:val="0"/>
          <w:caps w:val="0"/>
          <w:color w:val="000000"/>
          <w:spacing w:val="0"/>
          <w:sz w:val="32"/>
          <w:szCs w:val="32"/>
          <w:lang w:val="en-US" w:eastAsia="zh-CN"/>
        </w:rPr>
      </w:pPr>
      <w:r>
        <w:rPr>
          <w:rFonts w:hint="eastAsia" w:ascii="楷体" w:hAnsi="楷体" w:eastAsia="楷体" w:cs="楷体"/>
          <w:i w:val="0"/>
          <w:caps w:val="0"/>
          <w:color w:val="000000"/>
          <w:spacing w:val="0"/>
          <w:sz w:val="32"/>
          <w:szCs w:val="32"/>
          <w:lang w:val="en-US" w:eastAsia="zh-CN"/>
        </w:rPr>
        <w:t>五是加强业务能力学习。</w:t>
      </w:r>
      <w:r>
        <w:rPr>
          <w:rFonts w:hint="eastAsia" w:ascii="仿宋" w:hAnsi="仿宋" w:eastAsia="仿宋" w:cs="仿宋"/>
          <w:i w:val="0"/>
          <w:caps w:val="0"/>
          <w:color w:val="000000"/>
          <w:spacing w:val="0"/>
          <w:sz w:val="32"/>
          <w:szCs w:val="32"/>
          <w:lang w:val="en-US" w:eastAsia="zh-CN"/>
        </w:rPr>
        <w:t>自主学习和上级培训相结合，</w:t>
      </w:r>
      <w:r>
        <w:rPr>
          <w:rFonts w:hint="eastAsia" w:ascii="仿宋_GB2312" w:hAnsi="仿宋_GB2312" w:eastAsia="仿宋_GB2312" w:cs="仿宋_GB2312"/>
          <w:i w:val="0"/>
          <w:caps w:val="0"/>
          <w:color w:val="000000"/>
          <w:spacing w:val="0"/>
          <w:sz w:val="32"/>
          <w:szCs w:val="32"/>
          <w:lang w:val="en-US" w:eastAsia="zh-CN"/>
        </w:rPr>
        <w:t>切实提高综合素质和业务能力。</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right="0" w:firstLine="640" w:firstLineChars="200"/>
        <w:jc w:val="both"/>
        <w:textAlignment w:val="auto"/>
        <w:rPr>
          <w:rFonts w:hint="eastAsia" w:ascii="黑体" w:hAnsi="黑体" w:eastAsia="黑体" w:cs="黑体"/>
          <w:b w:val="0"/>
          <w:bCs/>
          <w:i w:val="0"/>
          <w:caps w:val="0"/>
          <w:color w:val="333333"/>
          <w:spacing w:val="0"/>
          <w:sz w:val="32"/>
          <w:szCs w:val="32"/>
          <w:shd w:val="clear" w:fill="FFFFFF"/>
        </w:rPr>
      </w:pPr>
      <w:r>
        <w:rPr>
          <w:rFonts w:hint="eastAsia" w:ascii="黑体" w:hAnsi="黑体" w:eastAsia="黑体" w:cs="黑体"/>
          <w:b w:val="0"/>
          <w:bCs/>
          <w:i w:val="0"/>
          <w:caps w:val="0"/>
          <w:color w:val="333333"/>
          <w:spacing w:val="0"/>
          <w:sz w:val="32"/>
          <w:szCs w:val="32"/>
          <w:shd w:val="clear" w:fill="FFFFFF"/>
        </w:rPr>
        <w:t>六、其他需要报告的事项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right="0" w:firstLine="640" w:firstLineChars="200"/>
        <w:jc w:val="both"/>
        <w:textAlignment w:val="auto"/>
        <w:rPr>
          <w:rFonts w:hint="eastAsia" w:ascii="仿宋_GB2312" w:hAnsi="仿宋_GB2312" w:eastAsia="仿宋_GB2312" w:cs="仿宋_GB2312"/>
          <w:i w:val="0"/>
          <w:caps w:val="0"/>
          <w:color w:val="333333"/>
          <w:spacing w:val="0"/>
          <w:sz w:val="32"/>
          <w:szCs w:val="32"/>
          <w:lang w:eastAsia="zh-CN"/>
        </w:rPr>
      </w:pPr>
      <w:r>
        <w:rPr>
          <w:rFonts w:hint="eastAsia" w:ascii="仿宋_GB2312" w:hAnsi="仿宋_GB2312" w:eastAsia="仿宋_GB2312" w:cs="仿宋_GB2312"/>
          <w:i w:val="0"/>
          <w:caps w:val="0"/>
          <w:color w:val="333333"/>
          <w:spacing w:val="0"/>
          <w:sz w:val="32"/>
          <w:szCs w:val="32"/>
          <w:lang w:eastAsia="zh-CN"/>
        </w:rPr>
        <w:t>无</w:t>
      </w:r>
    </w:p>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DB30831"/>
    <w:rsid w:val="046B14D9"/>
    <w:rsid w:val="053261D5"/>
    <w:rsid w:val="06547DF5"/>
    <w:rsid w:val="07F81308"/>
    <w:rsid w:val="090F2DCB"/>
    <w:rsid w:val="0AFA4F15"/>
    <w:rsid w:val="0C6B164B"/>
    <w:rsid w:val="0CD3614E"/>
    <w:rsid w:val="0D08632C"/>
    <w:rsid w:val="0D202C94"/>
    <w:rsid w:val="0E407989"/>
    <w:rsid w:val="0E4D4B3E"/>
    <w:rsid w:val="15F22A63"/>
    <w:rsid w:val="1F571CD8"/>
    <w:rsid w:val="1F991E3E"/>
    <w:rsid w:val="22DE5A2B"/>
    <w:rsid w:val="24AF7B3F"/>
    <w:rsid w:val="25B64EAB"/>
    <w:rsid w:val="2B7E2091"/>
    <w:rsid w:val="2B9A7C09"/>
    <w:rsid w:val="2DB4180E"/>
    <w:rsid w:val="2ECA1344"/>
    <w:rsid w:val="2FAA2B06"/>
    <w:rsid w:val="316D36F4"/>
    <w:rsid w:val="31BC7DAD"/>
    <w:rsid w:val="340B6DB0"/>
    <w:rsid w:val="345560BD"/>
    <w:rsid w:val="34B51C89"/>
    <w:rsid w:val="35A1360E"/>
    <w:rsid w:val="36B87CB5"/>
    <w:rsid w:val="3AB5347A"/>
    <w:rsid w:val="3AB75A44"/>
    <w:rsid w:val="3C7F50FA"/>
    <w:rsid w:val="3D4E2C4E"/>
    <w:rsid w:val="3DB30831"/>
    <w:rsid w:val="41486898"/>
    <w:rsid w:val="442F56E6"/>
    <w:rsid w:val="44C06709"/>
    <w:rsid w:val="4A692EEE"/>
    <w:rsid w:val="4DD44E7E"/>
    <w:rsid w:val="4EFF3639"/>
    <w:rsid w:val="50643523"/>
    <w:rsid w:val="52BE15BE"/>
    <w:rsid w:val="53C52749"/>
    <w:rsid w:val="54220BBD"/>
    <w:rsid w:val="55B82AB3"/>
    <w:rsid w:val="55BE60A1"/>
    <w:rsid w:val="5E7E09C7"/>
    <w:rsid w:val="5E851277"/>
    <w:rsid w:val="668B3CA4"/>
    <w:rsid w:val="6CA72586"/>
    <w:rsid w:val="6D014A21"/>
    <w:rsid w:val="6E8E40F4"/>
    <w:rsid w:val="6F751CAD"/>
    <w:rsid w:val="732770D6"/>
    <w:rsid w:val="73AD3E11"/>
    <w:rsid w:val="74DE4D2E"/>
    <w:rsid w:val="79D16519"/>
    <w:rsid w:val="7D1845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34</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2020-01-09T02:45:00Z</dcterms:created>
  <dc:creator>石头的雨季</dc:creator>
  <cp:lastModifiedBy>石头的雨季</cp:lastModifiedBy>
  <dcterms:modified xsi:type="dcterms:W3CDTF">2021-01-26T07:29:12Z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