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0716CD">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val="en-US" w:eastAsia="zh-CN"/>
        </w:rPr>
      </w:pPr>
    </w:p>
    <w:p w14:paraId="2A83E467">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淄博市博山区人民政府</w:t>
      </w:r>
    </w:p>
    <w:p w14:paraId="35F17DBB">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2024年政府信息公开工作年度报告</w:t>
      </w:r>
    </w:p>
    <w:p w14:paraId="3A3CD09F">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val="en-US" w:eastAsia="zh-CN"/>
        </w:rPr>
      </w:pPr>
    </w:p>
    <w:p w14:paraId="654B394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eastAsia" w:ascii="仿宋_GB2312" w:hAnsi="仿宋_GB2312" w:eastAsia="仿宋_GB2312" w:cs="仿宋_GB2312"/>
          <w:i w:val="0"/>
          <w:caps w:val="0"/>
          <w:color w:val="000000"/>
          <w:spacing w:val="0"/>
          <w:kern w:val="0"/>
          <w:sz w:val="32"/>
          <w:szCs w:val="32"/>
          <w:u w:val="none"/>
          <w:lang w:val="en-US" w:eastAsia="zh-CN" w:bidi="ar"/>
        </w:rPr>
      </w:pPr>
      <w:r>
        <w:rPr>
          <w:rFonts w:hint="eastAsia" w:ascii="仿宋_GB2312" w:hAnsi="仿宋_GB2312" w:eastAsia="仿宋_GB2312" w:cs="仿宋_GB2312"/>
          <w:i w:val="0"/>
          <w:caps w:val="0"/>
          <w:color w:val="000000"/>
          <w:spacing w:val="0"/>
          <w:kern w:val="0"/>
          <w:sz w:val="32"/>
          <w:szCs w:val="32"/>
          <w:u w:val="none"/>
          <w:lang w:val="en-US" w:eastAsia="zh-CN" w:bidi="ar"/>
        </w:rPr>
        <w:t>本年度报告根据《中华人民共和国政府信息公开条例》（国务院令第711号）和《中华人民共和国政府信息公开工作年度报告格式》（国办公开办函〔2021〕30号）要求编制，内容包括总体情况、主动公开政府信息情况、收到和处理政府信息公开申请情况、政府信息公开行政复议和行政诉讼情况、存在的主要问题和改进情况以及其他需要报告的事项六个部分。报告中所列数据的统计期限自2024年1月1日起，至2024年12月31日止。如对报告内容有疑问，请与博山区人民政府办公室联系（地址：博山区县前街46号；邮编：255200；电话：0533-4110087；电子邮箱：bsqzfb@zb.shandong.cn）。</w:t>
      </w:r>
    </w:p>
    <w:p w14:paraId="728D2CC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i w:val="0"/>
          <w:caps w:val="0"/>
          <w:color w:val="000000"/>
          <w:spacing w:val="0"/>
          <w:kern w:val="0"/>
          <w:sz w:val="32"/>
          <w:szCs w:val="32"/>
          <w:u w:val="single"/>
          <w:lang w:val="en-US" w:eastAsia="zh-CN" w:bidi="ar"/>
        </w:rPr>
      </w:pPr>
      <w:r>
        <w:rPr>
          <w:rFonts w:hint="eastAsia" w:ascii="黑体" w:hAnsi="黑体" w:eastAsia="黑体" w:cs="黑体"/>
          <w:i w:val="0"/>
          <w:caps w:val="0"/>
          <w:color w:val="000000"/>
          <w:spacing w:val="0"/>
          <w:kern w:val="0"/>
          <w:sz w:val="32"/>
          <w:szCs w:val="32"/>
          <w:u w:val="none"/>
          <w:lang w:val="en-US" w:eastAsia="zh-CN" w:bidi="ar"/>
        </w:rPr>
        <w:t>一、总体情况</w:t>
      </w:r>
    </w:p>
    <w:p w14:paraId="73D3F87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i w:val="0"/>
          <w:caps w:val="0"/>
          <w:color w:val="000000"/>
          <w:spacing w:val="0"/>
          <w:kern w:val="0"/>
          <w:sz w:val="32"/>
          <w:szCs w:val="32"/>
          <w:u w:val="none"/>
          <w:lang w:val="en-US" w:eastAsia="zh-CN" w:bidi="ar"/>
        </w:rPr>
      </w:pPr>
      <w:r>
        <w:rPr>
          <w:rFonts w:hint="eastAsia" w:ascii="仿宋_GB2312" w:hAnsi="仿宋_GB2312" w:eastAsia="仿宋_GB2312" w:cs="仿宋_GB2312"/>
          <w:i w:val="0"/>
          <w:caps w:val="0"/>
          <w:color w:val="000000"/>
          <w:spacing w:val="0"/>
          <w:kern w:val="0"/>
          <w:sz w:val="32"/>
          <w:szCs w:val="32"/>
          <w:u w:val="none"/>
          <w:lang w:val="en-US" w:eastAsia="zh-CN" w:bidi="ar"/>
        </w:rPr>
        <w:t>2024年，博山区全面贯彻落实中央、省市关于做好新时代政务公开工作的部署要求，紧紧围绕区委、区政府中心工作，夯基础、重实效，全面提升政务公开工作水平，有效</w:t>
      </w:r>
      <w:r>
        <w:rPr>
          <w:rFonts w:hint="eastAsia" w:ascii="仿宋_GB2312" w:hAnsi="仿宋_GB2312" w:eastAsia="仿宋_GB2312" w:cs="仿宋_GB2312"/>
          <w:color w:val="auto"/>
          <w:sz w:val="32"/>
          <w:szCs w:val="32"/>
          <w:u w:val="none"/>
          <w:lang w:eastAsia="zh-CN"/>
        </w:rPr>
        <w:t>发挥以公开促落实、优服务、强监管作用，</w:t>
      </w:r>
      <w:r>
        <w:rPr>
          <w:rFonts w:hint="eastAsia" w:ascii="仿宋_GB2312" w:hAnsi="仿宋_GB2312" w:eastAsia="仿宋_GB2312" w:cs="仿宋_GB2312"/>
          <w:color w:val="auto"/>
          <w:sz w:val="32"/>
          <w:szCs w:val="32"/>
          <w:u w:val="none"/>
          <w:lang w:val="en-US" w:eastAsia="zh-CN"/>
        </w:rPr>
        <w:t>为全区高质量发展贡献公开力量。</w:t>
      </w:r>
    </w:p>
    <w:p w14:paraId="28FCF4C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楷体_GB2312" w:hAnsi="楷体_GB2312" w:eastAsia="仿宋_GB2312" w:cs="楷体_GB2312"/>
          <w:i w:val="0"/>
          <w:caps w:val="0"/>
          <w:color w:val="000000"/>
          <w:spacing w:val="0"/>
          <w:kern w:val="0"/>
          <w:sz w:val="32"/>
          <w:szCs w:val="32"/>
          <w:u w:val="single"/>
          <w:lang w:val="en-US" w:eastAsia="zh-CN" w:bidi="ar"/>
        </w:rPr>
      </w:pPr>
      <w:r>
        <w:rPr>
          <w:rFonts w:hint="eastAsia" w:ascii="楷体_GB2312" w:hAnsi="楷体_GB2312" w:eastAsia="楷体_GB2312" w:cs="楷体_GB2312"/>
          <w:i w:val="0"/>
          <w:caps w:val="0"/>
          <w:color w:val="000000"/>
          <w:spacing w:val="0"/>
          <w:kern w:val="0"/>
          <w:sz w:val="32"/>
          <w:szCs w:val="32"/>
          <w:u w:val="none"/>
          <w:lang w:val="en-US" w:eastAsia="zh-CN" w:bidi="ar"/>
        </w:rPr>
        <w:t>（一）加强主动公开，深化拓展政府信息透明度。</w:t>
      </w:r>
      <w:r>
        <w:rPr>
          <w:rFonts w:hint="eastAsia" w:ascii="仿宋_GB2312" w:hAnsi="仿宋_GB2312" w:eastAsia="仿宋_GB2312" w:cs="仿宋_GB2312"/>
          <w:b/>
          <w:bCs/>
          <w:color w:val="auto"/>
          <w:sz w:val="32"/>
          <w:szCs w:val="32"/>
          <w:u w:val="none"/>
          <w:lang w:val="en-US" w:eastAsia="zh-CN"/>
        </w:rPr>
        <w:t>一是把握公开重点。</w:t>
      </w:r>
      <w:r>
        <w:rPr>
          <w:rFonts w:hint="eastAsia" w:ascii="仿宋_GB2312" w:hAnsi="仿宋_GB2312" w:eastAsia="仿宋_GB2312" w:cs="仿宋_GB2312"/>
          <w:sz w:val="32"/>
          <w:szCs w:val="32"/>
          <w:lang w:val="en-US" w:eastAsia="zh-CN"/>
        </w:rPr>
        <w:t>及时规范公开</w:t>
      </w:r>
      <w:r>
        <w:rPr>
          <w:rFonts w:hint="eastAsia" w:ascii="仿宋_GB2312" w:hAnsi="仿宋_GB2312" w:eastAsia="仿宋_GB2312" w:cs="仿宋_GB2312"/>
          <w:sz w:val="32"/>
          <w:szCs w:val="32"/>
          <w:lang w:eastAsia="zh-CN"/>
        </w:rPr>
        <w:t>机构职能、</w:t>
      </w:r>
      <w:r>
        <w:rPr>
          <w:rFonts w:hint="eastAsia" w:ascii="仿宋_GB2312" w:hAnsi="仿宋_GB2312" w:eastAsia="仿宋_GB2312" w:cs="仿宋_GB2312"/>
          <w:sz w:val="32"/>
          <w:szCs w:val="32"/>
          <w:lang w:val="en-US" w:eastAsia="zh-CN"/>
        </w:rPr>
        <w:t>政策文件</w:t>
      </w:r>
      <w:r>
        <w:rPr>
          <w:rFonts w:hint="eastAsia" w:ascii="仿宋_GB2312" w:hAnsi="仿宋_GB2312" w:eastAsia="仿宋_GB2312" w:cs="仿宋_GB2312"/>
          <w:sz w:val="32"/>
          <w:szCs w:val="32"/>
          <w:lang w:eastAsia="zh-CN"/>
        </w:rPr>
        <w:t>等法定基础信息</w:t>
      </w:r>
      <w:r>
        <w:rPr>
          <w:rFonts w:hint="eastAsia" w:ascii="仿宋_GB2312" w:hAnsi="仿宋_GB2312" w:eastAsia="仿宋_GB2312" w:cs="仿宋_GB2312"/>
          <w:sz w:val="32"/>
          <w:szCs w:val="32"/>
          <w:lang w:val="en-US" w:eastAsia="zh-CN"/>
        </w:rPr>
        <w:t>，稳岗就业、社会救助等重点领域信息，以及</w:t>
      </w:r>
      <w:r>
        <w:rPr>
          <w:rFonts w:hint="eastAsia" w:ascii="仿宋_GB2312" w:eastAsia="仿宋_GB2312"/>
          <w:sz w:val="32"/>
          <w:szCs w:val="32"/>
        </w:rPr>
        <w:t>4</w:t>
      </w:r>
      <w:r>
        <w:rPr>
          <w:rFonts w:hint="eastAsia" w:ascii="仿宋_GB2312" w:eastAsia="仿宋_GB2312"/>
          <w:sz w:val="32"/>
          <w:szCs w:val="32"/>
          <w:lang w:val="en-US" w:eastAsia="zh-CN"/>
        </w:rPr>
        <w:t>7</w:t>
      </w:r>
      <w:r>
        <w:rPr>
          <w:rFonts w:hint="eastAsia" w:ascii="仿宋_GB2312" w:eastAsia="仿宋_GB2312"/>
          <w:sz w:val="32"/>
          <w:szCs w:val="32"/>
        </w:rPr>
        <w:t>家公共企事业单位信息</w:t>
      </w:r>
      <w:r>
        <w:rPr>
          <w:rFonts w:hint="eastAsia" w:ascii="仿宋_GB2312" w:eastAsia="仿宋_GB2312"/>
          <w:sz w:val="32"/>
          <w:szCs w:val="32"/>
          <w:lang w:eastAsia="zh-CN"/>
        </w:rPr>
        <w:t>，</w:t>
      </w:r>
      <w:r>
        <w:rPr>
          <w:rFonts w:hint="eastAsia" w:ascii="仿宋_GB2312" w:eastAsia="仿宋_GB2312"/>
          <w:sz w:val="32"/>
          <w:szCs w:val="32"/>
          <w:lang w:val="en-US" w:eastAsia="zh-CN"/>
        </w:rPr>
        <w:t>全年</w:t>
      </w:r>
      <w:r>
        <w:rPr>
          <w:rFonts w:hint="eastAsia" w:ascii="仿宋_GB2312" w:eastAsia="仿宋_GB2312"/>
          <w:sz w:val="32"/>
          <w:szCs w:val="32"/>
        </w:rPr>
        <w:t>通过政府网站公开信息</w:t>
      </w:r>
      <w:r>
        <w:rPr>
          <w:rFonts w:hint="eastAsia" w:ascii="仿宋_GB2312" w:eastAsia="仿宋_GB2312"/>
          <w:sz w:val="32"/>
          <w:szCs w:val="32"/>
          <w:lang w:val="en-US" w:eastAsia="zh-CN"/>
        </w:rPr>
        <w:t>6600余条，其中重点领域信息2700余条，政府常务会、专题会等会议信息126条，</w:t>
      </w:r>
      <w:r>
        <w:rPr>
          <w:rFonts w:hint="eastAsia" w:ascii="仿宋_GB2312" w:eastAsia="仿宋_GB2312"/>
          <w:sz w:val="32"/>
          <w:szCs w:val="32"/>
          <w:highlight w:val="none"/>
          <w:lang w:val="en-US" w:eastAsia="zh-CN"/>
        </w:rPr>
        <w:t>政府及部门文件36件。</w:t>
      </w:r>
      <w:r>
        <w:rPr>
          <w:rFonts w:hint="eastAsia" w:ascii="仿宋_GB2312" w:eastAsia="仿宋_GB2312"/>
          <w:b/>
          <w:bCs/>
          <w:sz w:val="32"/>
          <w:szCs w:val="32"/>
          <w:lang w:val="en-US" w:eastAsia="zh-CN"/>
        </w:rPr>
        <w:t>二是深化政策解读。</w:t>
      </w:r>
      <w:r>
        <w:rPr>
          <w:rFonts w:hint="eastAsia" w:ascii="仿宋_GB2312" w:eastAsia="仿宋_GB2312"/>
          <w:sz w:val="32"/>
          <w:szCs w:val="32"/>
          <w:lang w:val="en-US" w:eastAsia="zh-CN"/>
        </w:rPr>
        <w:t>严格落实政策解读“三同步”要求，提高解读质量，通过图片、H5、视频、领导干部、专家、媒体等多维度解读政策文件、常务会议104次。</w:t>
      </w:r>
      <w:r>
        <w:rPr>
          <w:rFonts w:hint="eastAsia" w:ascii="仿宋_GB2312" w:eastAsia="仿宋_GB2312"/>
          <w:b/>
          <w:bCs/>
          <w:sz w:val="32"/>
          <w:szCs w:val="32"/>
          <w:lang w:val="en-US" w:eastAsia="zh-CN"/>
        </w:rPr>
        <w:t>三是主动回应关切。</w:t>
      </w:r>
      <w:r>
        <w:rPr>
          <w:rFonts w:hint="eastAsia" w:ascii="仿宋_GB2312" w:eastAsia="仿宋_GB2312"/>
          <w:sz w:val="32"/>
          <w:szCs w:val="32"/>
          <w:lang w:val="en-US" w:eastAsia="zh-CN"/>
        </w:rPr>
        <w:t>围绕群众关心关注的教育、卫生、人居环境等内容，举办19场新闻发布会；组织28个重点承办单位主要负责人到区12345热线平台开展上线回访，现场解答回应企业群众诉求。</w:t>
      </w:r>
    </w:p>
    <w:p w14:paraId="7E4EC04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eastAsia="仿宋_GB2312"/>
          <w:sz w:val="32"/>
          <w:szCs w:val="32"/>
          <w:lang w:val="en-US" w:eastAsia="zh-CN"/>
        </w:rPr>
      </w:pPr>
      <w:r>
        <w:rPr>
          <w:rFonts w:hint="eastAsia" w:ascii="楷体_GB2312" w:hAnsi="楷体_GB2312" w:eastAsia="楷体_GB2312" w:cs="楷体_GB2312"/>
          <w:i w:val="0"/>
          <w:caps w:val="0"/>
          <w:color w:val="000000"/>
          <w:spacing w:val="0"/>
          <w:kern w:val="0"/>
          <w:sz w:val="32"/>
          <w:szCs w:val="32"/>
          <w:u w:val="none"/>
          <w:lang w:val="en-US" w:eastAsia="zh-CN" w:bidi="ar"/>
        </w:rPr>
        <w:t>（二）规范依申请公开，保障群众依法获取政府信息权利。</w:t>
      </w:r>
      <w:r>
        <w:rPr>
          <w:rFonts w:hint="eastAsia" w:ascii="仿宋_GB2312" w:eastAsia="仿宋_GB2312"/>
          <w:sz w:val="32"/>
          <w:szCs w:val="32"/>
          <w:lang w:val="en-US" w:eastAsia="zh-CN"/>
        </w:rPr>
        <w:t>针对复杂疑难问题建立会商研判机制，提升办理质量。2024年全区共收到政府信息公开申请61件，较2023年减少20.8%。作出政府信息公开申请答复62件（含上年结转3件），其中予以公开40件、部分公开8件、不予公开6件、无法提供8件。结转下年继续办理2件。</w:t>
      </w:r>
    </w:p>
    <w:p w14:paraId="48F64F53">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eastAsia="仿宋_GB2312"/>
          <w:sz w:val="32"/>
          <w:szCs w:val="32"/>
          <w:lang w:val="en-US" w:eastAsia="zh-CN"/>
        </w:rPr>
      </w:pPr>
      <w:r>
        <w:rPr>
          <w:rFonts w:hint="eastAsia" w:ascii="楷体_GB2312" w:hAnsi="楷体_GB2312" w:eastAsia="楷体_GB2312" w:cs="楷体_GB2312"/>
          <w:i w:val="0"/>
          <w:caps w:val="0"/>
          <w:color w:val="000000"/>
          <w:spacing w:val="0"/>
          <w:kern w:val="0"/>
          <w:sz w:val="32"/>
          <w:szCs w:val="32"/>
          <w:u w:val="none"/>
          <w:lang w:val="en-US" w:eastAsia="zh-CN" w:bidi="ar"/>
        </w:rPr>
        <w:t>（三）坚持精准发力，提升政府信息管理水平。</w:t>
      </w:r>
      <w:r>
        <w:rPr>
          <w:rFonts w:hint="eastAsia" w:ascii="仿宋_GB2312" w:eastAsia="仿宋_GB2312"/>
          <w:b/>
          <w:bCs/>
          <w:sz w:val="32"/>
          <w:szCs w:val="32"/>
          <w:lang w:val="en-US" w:eastAsia="zh-CN"/>
        </w:rPr>
        <w:t>一是</w:t>
      </w:r>
      <w:r>
        <w:rPr>
          <w:rFonts w:hint="eastAsia" w:ascii="仿宋_GB2312" w:eastAsia="仿宋_GB2312"/>
          <w:sz w:val="32"/>
          <w:szCs w:val="32"/>
          <w:lang w:val="en-US" w:eastAsia="zh-CN"/>
        </w:rPr>
        <w:t>系统梳理法定主动公开事项及公开主体、内容、时限、方式、渠道、责任等要素，完成区政府及29个部门、单位主动公开事项目录编制。</w:t>
      </w:r>
      <w:r>
        <w:rPr>
          <w:rFonts w:hint="eastAsia" w:ascii="仿宋_GB2312" w:eastAsia="仿宋_GB2312"/>
          <w:b/>
          <w:bCs/>
          <w:sz w:val="32"/>
          <w:szCs w:val="32"/>
          <w:lang w:val="en-US" w:eastAsia="zh-CN"/>
        </w:rPr>
        <w:t>二是</w:t>
      </w:r>
      <w:r>
        <w:rPr>
          <w:rFonts w:hint="eastAsia" w:ascii="仿宋_GB2312" w:eastAsia="仿宋_GB2312"/>
          <w:sz w:val="32"/>
          <w:szCs w:val="32"/>
          <w:lang w:val="en-US" w:eastAsia="zh-CN"/>
        </w:rPr>
        <w:t>认真落实“先审查后公开”制度要求，规范信息发布流程，严格信息上网审核，确保信息发布准确安全。</w:t>
      </w:r>
      <w:r>
        <w:rPr>
          <w:rFonts w:hint="eastAsia" w:ascii="仿宋_GB2312" w:eastAsia="仿宋_GB2312"/>
          <w:b/>
          <w:bCs/>
          <w:sz w:val="32"/>
          <w:szCs w:val="32"/>
          <w:lang w:val="en-US" w:eastAsia="zh-CN"/>
        </w:rPr>
        <w:t>三是</w:t>
      </w:r>
      <w:r>
        <w:rPr>
          <w:rFonts w:hint="eastAsia" w:ascii="仿宋_GB2312" w:eastAsia="仿宋_GB2312"/>
          <w:sz w:val="32"/>
          <w:szCs w:val="32"/>
          <w:lang w:val="en-US" w:eastAsia="zh-CN"/>
        </w:rPr>
        <w:t>开展规范性文件评估和清理工作，及时发布清理结果，更改失效、废止等有效性标注，现行有效规范性文件12件。</w:t>
      </w:r>
    </w:p>
    <w:p w14:paraId="1C0EEE4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sz w:val="32"/>
          <w:szCs w:val="32"/>
          <w:lang w:val="en-US" w:eastAsia="zh-CN"/>
        </w:rPr>
      </w:pPr>
      <w:r>
        <w:rPr>
          <w:rFonts w:hint="eastAsia" w:ascii="楷体_GB2312" w:hAnsi="楷体_GB2312" w:eastAsia="楷体_GB2312" w:cs="楷体_GB2312"/>
          <w:i w:val="0"/>
          <w:caps w:val="0"/>
          <w:color w:val="000000"/>
          <w:spacing w:val="0"/>
          <w:kern w:val="0"/>
          <w:sz w:val="32"/>
          <w:szCs w:val="32"/>
          <w:u w:val="none"/>
          <w:lang w:val="en-US" w:eastAsia="zh-CN" w:bidi="ar"/>
        </w:rPr>
        <w:t>（四）聚焦便民为民，优化政府信息公开平台建设。</w:t>
      </w:r>
      <w:r>
        <w:rPr>
          <w:rFonts w:hint="eastAsia" w:ascii="仿宋_GB2312" w:hAnsi="仿宋_GB2312" w:eastAsia="仿宋_GB2312" w:cs="仿宋_GB2312"/>
          <w:b/>
          <w:bCs/>
          <w:color w:val="auto"/>
          <w:kern w:val="2"/>
          <w:sz w:val="32"/>
          <w:szCs w:val="32"/>
          <w:lang w:val="en-US" w:eastAsia="zh-CN" w:bidi="ar-SA"/>
        </w:rPr>
        <w:t>一是</w:t>
      </w:r>
      <w:r>
        <w:rPr>
          <w:rFonts w:hint="eastAsia" w:ascii="仿宋_GB2312" w:hAnsi="仿宋_GB2312" w:eastAsia="仿宋_GB2312" w:cs="仿宋_GB2312"/>
          <w:color w:val="auto"/>
          <w:kern w:val="2"/>
          <w:sz w:val="32"/>
          <w:szCs w:val="32"/>
          <w:lang w:val="en-US" w:eastAsia="zh-CN" w:bidi="ar-SA"/>
        </w:rPr>
        <w:t>积极推进政府网站专栏建设和优化提升，定期开展网站监测，及时清理信息更新不及时和空白栏目。</w:t>
      </w:r>
      <w:r>
        <w:rPr>
          <w:rFonts w:hint="eastAsia" w:ascii="仿宋_GB2312" w:hAnsi="仿宋_GB2312" w:eastAsia="仿宋_GB2312" w:cs="仿宋_GB2312"/>
          <w:b/>
          <w:bCs/>
          <w:color w:val="auto"/>
          <w:kern w:val="2"/>
          <w:sz w:val="32"/>
          <w:szCs w:val="32"/>
          <w:highlight w:val="none"/>
          <w:lang w:val="en-US" w:eastAsia="zh-CN" w:bidi="ar-SA"/>
        </w:rPr>
        <w:t>二是</w:t>
      </w:r>
      <w:r>
        <w:rPr>
          <w:rFonts w:hint="eastAsia" w:ascii="仿宋_GB2312" w:eastAsia="仿宋_GB2312"/>
          <w:sz w:val="32"/>
          <w:szCs w:val="32"/>
          <w:highlight w:val="none"/>
          <w:lang w:val="en-US" w:eastAsia="zh-CN"/>
        </w:rPr>
        <w:t>加强政务新媒体管理，</w:t>
      </w:r>
      <w:r>
        <w:rPr>
          <w:rFonts w:hint="eastAsia" w:ascii="仿宋_GB2312" w:eastAsia="仿宋_GB2312"/>
          <w:sz w:val="32"/>
          <w:szCs w:val="32"/>
          <w:lang w:val="en-US" w:eastAsia="zh-CN"/>
        </w:rPr>
        <w:t>对受众面小、运维保障差、功能重复的政务新媒体账号进行清理整合，</w:t>
      </w:r>
      <w:r>
        <w:rPr>
          <w:rFonts w:hint="eastAsia" w:ascii="仿宋_GB2312" w:eastAsia="仿宋_GB2312"/>
          <w:sz w:val="32"/>
          <w:szCs w:val="32"/>
          <w:u w:val="none"/>
          <w:lang w:val="en-US" w:eastAsia="zh-CN"/>
        </w:rPr>
        <w:t>年内清理关停政务新媒体账号39个，</w:t>
      </w:r>
      <w:r>
        <w:rPr>
          <w:rFonts w:hint="eastAsia" w:ascii="仿宋_GB2312" w:eastAsia="仿宋_GB2312"/>
          <w:sz w:val="32"/>
          <w:szCs w:val="32"/>
          <w:lang w:val="en-US" w:eastAsia="zh-CN"/>
        </w:rPr>
        <w:t>进一步优化了政务新媒体服务效能。</w:t>
      </w:r>
      <w:r>
        <w:rPr>
          <w:rFonts w:hint="eastAsia" w:ascii="仿宋_GB2312" w:eastAsia="仿宋_GB2312"/>
          <w:b/>
          <w:bCs/>
          <w:sz w:val="32"/>
          <w:szCs w:val="32"/>
          <w:lang w:val="en-US" w:eastAsia="zh-CN"/>
        </w:rPr>
        <w:t>三是</w:t>
      </w:r>
      <w:r>
        <w:rPr>
          <w:rFonts w:hint="eastAsia" w:ascii="仿宋_GB2312" w:eastAsia="仿宋_GB2312"/>
          <w:sz w:val="32"/>
          <w:szCs w:val="32"/>
          <w:lang w:val="en-US" w:eastAsia="zh-CN"/>
        </w:rPr>
        <w:t>高质量编制《博山区人民政府公报》4期，拓展线上线下查阅渠道，强化政府公报服务公众的功能。</w:t>
      </w:r>
    </w:p>
    <w:p w14:paraId="1E935CA6">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eastAsia="仿宋_GB2312"/>
          <w:sz w:val="32"/>
          <w:szCs w:val="32"/>
          <w:lang w:val="en-US" w:eastAsia="zh-CN"/>
        </w:rPr>
      </w:pPr>
      <w:r>
        <w:rPr>
          <w:rFonts w:hint="eastAsia" w:ascii="楷体_GB2312" w:hAnsi="楷体_GB2312" w:eastAsia="楷体_GB2312" w:cs="楷体_GB2312"/>
          <w:i w:val="0"/>
          <w:caps w:val="0"/>
          <w:color w:val="000000"/>
          <w:spacing w:val="0"/>
          <w:kern w:val="0"/>
          <w:sz w:val="32"/>
          <w:szCs w:val="32"/>
          <w:u w:val="none"/>
          <w:lang w:val="en-US" w:eastAsia="zh-CN" w:bidi="ar"/>
        </w:rPr>
        <w:t>（五）强化监督保障，有效推动政务公开工作落地落实。</w:t>
      </w:r>
      <w:r>
        <w:rPr>
          <w:rFonts w:hint="eastAsia" w:ascii="仿宋_GB2312" w:eastAsia="仿宋_GB2312"/>
          <w:b/>
          <w:bCs/>
          <w:sz w:val="32"/>
          <w:szCs w:val="32"/>
          <w:lang w:val="en-US" w:eastAsia="zh-CN"/>
        </w:rPr>
        <w:t>一是</w:t>
      </w:r>
      <w:r>
        <w:rPr>
          <w:rFonts w:hint="eastAsia" w:ascii="仿宋_GB2312" w:eastAsia="仿宋_GB2312"/>
          <w:sz w:val="32"/>
          <w:szCs w:val="32"/>
          <w:lang w:val="en-US" w:eastAsia="zh-CN"/>
        </w:rPr>
        <w:t>全年召开政务公开工作推进会议2次，研究部署推进政务公开重点工作。</w:t>
      </w:r>
      <w:r>
        <w:rPr>
          <w:rFonts w:hint="eastAsia" w:ascii="仿宋_GB2312" w:eastAsia="仿宋_GB2312"/>
          <w:b/>
          <w:bCs/>
          <w:sz w:val="32"/>
          <w:szCs w:val="32"/>
          <w:lang w:val="en-US" w:eastAsia="zh-CN"/>
        </w:rPr>
        <w:t>二是</w:t>
      </w:r>
      <w:r>
        <w:rPr>
          <w:rFonts w:hint="eastAsia" w:ascii="仿宋_GB2312" w:eastAsia="仿宋_GB2312"/>
          <w:sz w:val="32"/>
          <w:szCs w:val="32"/>
          <w:lang w:val="en-US" w:eastAsia="zh-CN"/>
        </w:rPr>
        <w:t>加强业务指导，通过集中培训、业务轮训等方式，累计培训120余人次。</w:t>
      </w:r>
      <w:r>
        <w:rPr>
          <w:rFonts w:hint="eastAsia" w:ascii="仿宋_GB2312" w:eastAsia="仿宋_GB2312"/>
          <w:b/>
          <w:bCs/>
          <w:sz w:val="32"/>
          <w:szCs w:val="32"/>
          <w:lang w:val="en-US" w:eastAsia="zh-CN"/>
        </w:rPr>
        <w:t>三是</w:t>
      </w:r>
      <w:r>
        <w:rPr>
          <w:rFonts w:hint="eastAsia" w:ascii="仿宋_GB2312" w:eastAsia="仿宋_GB2312"/>
          <w:sz w:val="32"/>
          <w:szCs w:val="32"/>
          <w:lang w:val="en-US" w:eastAsia="zh-CN"/>
        </w:rPr>
        <w:t>加强日常监测，全年印发区级政务公开工作通报2期，及时开展问题整改“回头看”，确保问题整改实效。年内</w:t>
      </w:r>
      <w:r>
        <w:rPr>
          <w:rFonts w:hint="eastAsia" w:ascii="仿宋_GB2312" w:hAnsi="仿宋_GB2312" w:eastAsia="仿宋_GB2312" w:cs="仿宋_GB2312"/>
          <w:sz w:val="32"/>
          <w:szCs w:val="32"/>
          <w:lang w:val="en-US" w:eastAsia="zh-CN" w:bidi="ar"/>
        </w:rPr>
        <w:t>全区</w:t>
      </w:r>
      <w:r>
        <w:rPr>
          <w:rFonts w:hint="eastAsia" w:ascii="仿宋_GB2312" w:hAnsi="仿宋_GB2312" w:eastAsia="仿宋_GB2312" w:cs="仿宋_GB2312"/>
          <w:sz w:val="32"/>
          <w:szCs w:val="32"/>
          <w:lang w:bidi="ar"/>
        </w:rPr>
        <w:t>未发生因政府信息公开工作责任追究情况。</w:t>
      </w:r>
      <w:bookmarkStart w:id="10" w:name="_GoBack"/>
      <w:bookmarkEnd w:id="10"/>
    </w:p>
    <w:p w14:paraId="092CEAF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黑体" w:hAnsi="黑体" w:eastAsia="黑体" w:cs="黑体"/>
          <w:i w:val="0"/>
          <w:caps w:val="0"/>
          <w:color w:val="000000"/>
          <w:spacing w:val="0"/>
          <w:kern w:val="0"/>
          <w:sz w:val="32"/>
          <w:szCs w:val="32"/>
          <w:lang w:val="en-US" w:eastAsia="zh-CN" w:bidi="ar"/>
        </w:rPr>
      </w:pPr>
      <w:r>
        <w:rPr>
          <w:rFonts w:hint="eastAsia" w:ascii="黑体" w:hAnsi="黑体" w:eastAsia="黑体" w:cs="黑体"/>
          <w:i w:val="0"/>
          <w:caps w:val="0"/>
          <w:color w:val="000000"/>
          <w:spacing w:val="0"/>
          <w:kern w:val="0"/>
          <w:sz w:val="32"/>
          <w:szCs w:val="32"/>
          <w:lang w:val="en-US" w:eastAsia="zh-CN" w:bidi="ar"/>
        </w:rPr>
        <w:t>二、主动公开政府信息情况</w:t>
      </w:r>
    </w:p>
    <w:tbl>
      <w:tblPr>
        <w:tblStyle w:val="5"/>
        <w:tblW w:w="8824" w:type="dxa"/>
        <w:jc w:val="center"/>
        <w:tblLayout w:type="fixed"/>
        <w:tblCellMar>
          <w:top w:w="0" w:type="dxa"/>
          <w:left w:w="108" w:type="dxa"/>
          <w:bottom w:w="0" w:type="dxa"/>
          <w:right w:w="108" w:type="dxa"/>
        </w:tblCellMar>
      </w:tblPr>
      <w:tblGrid>
        <w:gridCol w:w="2206"/>
        <w:gridCol w:w="2206"/>
        <w:gridCol w:w="2206"/>
        <w:gridCol w:w="2206"/>
      </w:tblGrid>
      <w:tr w14:paraId="5D173BE7">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3B7498A">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5A7C5451">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3BC4FCA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noWrap w:val="0"/>
            <w:vAlign w:val="center"/>
          </w:tcPr>
          <w:p w14:paraId="514C5C0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noWrap w:val="0"/>
            <w:vAlign w:val="center"/>
          </w:tcPr>
          <w:p w14:paraId="4F11EF0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noWrap w:val="0"/>
            <w:vAlign w:val="center"/>
          </w:tcPr>
          <w:p w14:paraId="229262E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3A19B07E">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20BB7AF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noWrap w:val="0"/>
            <w:vAlign w:val="center"/>
          </w:tcPr>
          <w:p w14:paraId="768E896A">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7EE1F258">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55ACB020">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0</w:t>
            </w:r>
          </w:p>
        </w:tc>
      </w:tr>
      <w:tr w14:paraId="5A55EC1D">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398940B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noWrap w:val="0"/>
            <w:vAlign w:val="center"/>
          </w:tcPr>
          <w:p w14:paraId="258430CC">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5</w:t>
            </w:r>
          </w:p>
        </w:tc>
        <w:tc>
          <w:tcPr>
            <w:tcW w:w="2206" w:type="dxa"/>
            <w:tcBorders>
              <w:top w:val="nil"/>
              <w:left w:val="nil"/>
              <w:bottom w:val="single" w:color="auto" w:sz="8" w:space="0"/>
              <w:right w:val="single" w:color="auto" w:sz="8" w:space="0"/>
            </w:tcBorders>
            <w:noWrap w:val="0"/>
            <w:vAlign w:val="center"/>
          </w:tcPr>
          <w:p w14:paraId="739E0575">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3</w:t>
            </w:r>
          </w:p>
        </w:tc>
        <w:tc>
          <w:tcPr>
            <w:tcW w:w="2206" w:type="dxa"/>
            <w:tcBorders>
              <w:top w:val="nil"/>
              <w:left w:val="nil"/>
              <w:bottom w:val="single" w:color="auto" w:sz="8" w:space="0"/>
              <w:right w:val="single" w:color="auto" w:sz="8" w:space="0"/>
            </w:tcBorders>
            <w:noWrap w:val="0"/>
            <w:vAlign w:val="center"/>
          </w:tcPr>
          <w:p w14:paraId="1DADC36B">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12</w:t>
            </w:r>
          </w:p>
        </w:tc>
      </w:tr>
      <w:tr w14:paraId="76C6EDD8">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DE3FA2C">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28527D5A">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45567E0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1623E28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4FCF30A3">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5C7C211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noWrap w:val="0"/>
            <w:vAlign w:val="center"/>
          </w:tcPr>
          <w:p w14:paraId="7452BA5F">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themeColor="text1"/>
                <w:kern w:val="0"/>
                <w:szCs w:val="21"/>
                <w:lang w:val="en-US" w:eastAsia="zh-CN"/>
                <w14:textFill>
                  <w14:solidFill>
                    <w14:schemeClr w14:val="tx1"/>
                  </w14:solidFill>
                </w14:textFill>
              </w:rPr>
              <w:t>19513</w:t>
            </w:r>
          </w:p>
        </w:tc>
      </w:tr>
      <w:tr w14:paraId="14A3A95D">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681C4BBD">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1E20A8FC">
        <w:tblPrEx>
          <w:tblCellMar>
            <w:top w:w="0" w:type="dxa"/>
            <w:left w:w="108" w:type="dxa"/>
            <w:bottom w:w="0" w:type="dxa"/>
            <w:right w:w="108" w:type="dxa"/>
          </w:tblCellMar>
        </w:tblPrEx>
        <w:trPr>
          <w:trHeight w:val="567" w:hRule="atLeast"/>
          <w:jc w:val="center"/>
        </w:trPr>
        <w:tc>
          <w:tcPr>
            <w:tcW w:w="2206" w:type="dxa"/>
            <w:tcBorders>
              <w:top w:val="single" w:color="auto" w:sz="8" w:space="0"/>
              <w:left w:val="single" w:color="auto" w:sz="8" w:space="0"/>
              <w:bottom w:val="single" w:color="auto" w:sz="8" w:space="0"/>
              <w:right w:val="single" w:color="auto" w:sz="8" w:space="0"/>
            </w:tcBorders>
            <w:noWrap w:val="0"/>
            <w:vAlign w:val="center"/>
          </w:tcPr>
          <w:p w14:paraId="3E71026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single" w:color="auto" w:sz="8" w:space="0"/>
              <w:bottom w:val="single" w:color="auto" w:sz="8" w:space="0"/>
              <w:right w:val="single" w:color="auto" w:sz="8" w:space="0"/>
            </w:tcBorders>
            <w:noWrap w:val="0"/>
            <w:vAlign w:val="center"/>
          </w:tcPr>
          <w:p w14:paraId="398D27E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421FABF0">
        <w:tblPrEx>
          <w:tblCellMar>
            <w:top w:w="0" w:type="dxa"/>
            <w:left w:w="108" w:type="dxa"/>
            <w:bottom w:w="0" w:type="dxa"/>
            <w:right w:w="108" w:type="dxa"/>
          </w:tblCellMar>
        </w:tblPrEx>
        <w:trPr>
          <w:trHeight w:val="567" w:hRule="atLeast"/>
          <w:jc w:val="center"/>
        </w:trPr>
        <w:tc>
          <w:tcPr>
            <w:tcW w:w="2206" w:type="dxa"/>
            <w:tcBorders>
              <w:top w:val="single" w:color="auto" w:sz="8" w:space="0"/>
              <w:left w:val="single" w:color="auto" w:sz="8" w:space="0"/>
              <w:bottom w:val="single" w:color="auto" w:sz="8" w:space="0"/>
              <w:right w:val="single" w:color="auto" w:sz="8" w:space="0"/>
            </w:tcBorders>
            <w:noWrap w:val="0"/>
            <w:vAlign w:val="center"/>
          </w:tcPr>
          <w:p w14:paraId="3CB2F21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noWrap w:val="0"/>
            <w:vAlign w:val="center"/>
          </w:tcPr>
          <w:p w14:paraId="300E745B">
            <w:pPr>
              <w:widowControl/>
              <w:jc w:val="center"/>
              <w:rPr>
                <w:rFonts w:hint="default" w:ascii="仿宋_GB2312" w:hAnsi="Calibri" w:eastAsia="仿宋_GB2312" w:cs="Calibri"/>
                <w:color w:val="000000" w:themeColor="text1"/>
                <w:kern w:val="0"/>
                <w:szCs w:val="21"/>
                <w:lang w:val="en-US" w:eastAsia="zh-CN"/>
                <w14:textFill>
                  <w14:solidFill>
                    <w14:schemeClr w14:val="tx1"/>
                  </w14:solidFill>
                </w14:textFill>
              </w:rPr>
            </w:pPr>
            <w:r>
              <w:rPr>
                <w:rFonts w:hint="eastAsia" w:ascii="仿宋_GB2312" w:hAnsi="Calibri" w:eastAsia="仿宋_GB2312" w:cs="Calibri"/>
                <w:color w:val="000000" w:themeColor="text1"/>
                <w:kern w:val="0"/>
                <w:szCs w:val="21"/>
                <w:lang w:val="en-US" w:eastAsia="zh-CN"/>
                <w14:textFill>
                  <w14:solidFill>
                    <w14:schemeClr w14:val="tx1"/>
                  </w14:solidFill>
                </w14:textFill>
              </w:rPr>
              <w:t>1394</w:t>
            </w:r>
          </w:p>
        </w:tc>
      </w:tr>
      <w:tr w14:paraId="68C1D3EC">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21FC640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noWrap w:val="0"/>
            <w:vAlign w:val="center"/>
          </w:tcPr>
          <w:p w14:paraId="5045B4AE">
            <w:pPr>
              <w:widowControl/>
              <w:jc w:val="center"/>
              <w:rPr>
                <w:rFonts w:hint="default" w:ascii="仿宋_GB2312" w:hAnsi="Calibri" w:eastAsia="仿宋_GB2312" w:cs="Calibri"/>
                <w:color w:val="000000" w:themeColor="text1"/>
                <w:kern w:val="0"/>
                <w:szCs w:val="21"/>
                <w:lang w:val="en-US" w:eastAsia="zh-CN"/>
                <w14:textFill>
                  <w14:solidFill>
                    <w14:schemeClr w14:val="tx1"/>
                  </w14:solidFill>
                </w14:textFill>
              </w:rPr>
            </w:pPr>
            <w:r>
              <w:rPr>
                <w:rFonts w:hint="eastAsia" w:ascii="仿宋_GB2312" w:hAnsi="Calibri" w:eastAsia="仿宋_GB2312" w:cs="Calibri"/>
                <w:color w:val="000000" w:themeColor="text1"/>
                <w:kern w:val="0"/>
                <w:szCs w:val="21"/>
                <w:lang w:val="en-US" w:eastAsia="zh-CN"/>
                <w14:textFill>
                  <w14:solidFill>
                    <w14:schemeClr w14:val="tx1"/>
                  </w14:solidFill>
                </w14:textFill>
              </w:rPr>
              <w:t>160</w:t>
            </w:r>
          </w:p>
        </w:tc>
      </w:tr>
      <w:tr w14:paraId="5214AAA9">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0B74AD4E">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34405504">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688713E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7F30335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74F6B476">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0AA13CE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noWrap w:val="0"/>
            <w:vAlign w:val="center"/>
          </w:tcPr>
          <w:p w14:paraId="0D786207">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auto"/>
                <w:kern w:val="0"/>
                <w:szCs w:val="21"/>
                <w:lang w:val="en-US" w:eastAsia="zh-CN"/>
              </w:rPr>
              <w:t>1728.59</w:t>
            </w:r>
          </w:p>
        </w:tc>
      </w:tr>
    </w:tbl>
    <w:p w14:paraId="22660C5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i w:val="0"/>
          <w:caps w:val="0"/>
          <w:color w:val="000000"/>
          <w:spacing w:val="0"/>
          <w:kern w:val="0"/>
          <w:sz w:val="32"/>
          <w:szCs w:val="32"/>
          <w:lang w:val="en-US" w:eastAsia="zh-CN" w:bidi="ar"/>
        </w:rPr>
      </w:pPr>
      <w:r>
        <w:rPr>
          <w:rFonts w:hint="eastAsia" w:ascii="黑体" w:hAnsi="黑体" w:eastAsia="黑体" w:cs="黑体"/>
          <w:b w:val="0"/>
          <w:bCs/>
          <w:i w:val="0"/>
          <w:caps w:val="0"/>
          <w:color w:val="333333"/>
          <w:spacing w:val="0"/>
          <w:kern w:val="0"/>
          <w:sz w:val="32"/>
          <w:szCs w:val="32"/>
          <w:shd w:val="clear" w:color="auto" w:fill="FFFFFF"/>
          <w:lang w:val="en-US" w:eastAsia="zh-CN" w:bidi="ar"/>
        </w:rPr>
        <w:t>三、收到和处理政府信息公开申请情况</w:t>
      </w:r>
    </w:p>
    <w:tbl>
      <w:tblPr>
        <w:tblStyle w:val="5"/>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2"/>
        <w:gridCol w:w="540"/>
        <w:gridCol w:w="545"/>
        <w:gridCol w:w="720"/>
        <w:gridCol w:w="675"/>
        <w:gridCol w:w="525"/>
        <w:gridCol w:w="1"/>
        <w:gridCol w:w="700"/>
      </w:tblGrid>
      <w:tr w14:paraId="56D020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155AC915">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369E13A2">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8"/>
            <w:noWrap w:val="0"/>
            <w:tcMar>
              <w:left w:w="108" w:type="dxa"/>
              <w:right w:w="108" w:type="dxa"/>
            </w:tcMar>
            <w:vAlign w:val="center"/>
          </w:tcPr>
          <w:p w14:paraId="479BBDCA">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3BB544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03B99F4C">
            <w:pPr>
              <w:jc w:val="center"/>
              <w:rPr>
                <w:rFonts w:ascii="仿宋_GB2312" w:hAnsi="Times New Roman" w:eastAsia="仿宋_GB2312"/>
                <w:szCs w:val="21"/>
              </w:rPr>
            </w:pPr>
          </w:p>
        </w:tc>
        <w:tc>
          <w:tcPr>
            <w:tcW w:w="742" w:type="dxa"/>
            <w:vMerge w:val="restart"/>
            <w:noWrap w:val="0"/>
            <w:tcMar>
              <w:left w:w="108" w:type="dxa"/>
              <w:right w:w="108" w:type="dxa"/>
            </w:tcMar>
            <w:vAlign w:val="center"/>
          </w:tcPr>
          <w:p w14:paraId="455D04B3">
            <w:pPr>
              <w:widowControl/>
              <w:jc w:val="center"/>
              <w:rPr>
                <w:rFonts w:ascii="黑体" w:hAnsi="黑体" w:eastAsia="黑体"/>
                <w:szCs w:val="21"/>
              </w:rPr>
            </w:pPr>
            <w:r>
              <w:rPr>
                <w:rFonts w:hint="eastAsia" w:ascii="黑体" w:hAnsi="黑体" w:eastAsia="黑体"/>
                <w:kern w:val="0"/>
                <w:szCs w:val="21"/>
              </w:rPr>
              <w:t>自然人</w:t>
            </w:r>
          </w:p>
        </w:tc>
        <w:tc>
          <w:tcPr>
            <w:tcW w:w="3005" w:type="dxa"/>
            <w:gridSpan w:val="5"/>
            <w:noWrap w:val="0"/>
            <w:tcMar>
              <w:left w:w="108" w:type="dxa"/>
              <w:right w:w="108" w:type="dxa"/>
            </w:tcMar>
            <w:vAlign w:val="center"/>
          </w:tcPr>
          <w:p w14:paraId="529999EB">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1" w:type="dxa"/>
            <w:gridSpan w:val="2"/>
            <w:vMerge w:val="restart"/>
            <w:noWrap w:val="0"/>
            <w:tcMar>
              <w:left w:w="108" w:type="dxa"/>
              <w:right w:w="108" w:type="dxa"/>
            </w:tcMar>
            <w:vAlign w:val="center"/>
          </w:tcPr>
          <w:p w14:paraId="5FE5D314">
            <w:pPr>
              <w:widowControl/>
              <w:jc w:val="center"/>
              <w:rPr>
                <w:rFonts w:ascii="黑体" w:hAnsi="黑体" w:eastAsia="黑体"/>
                <w:szCs w:val="21"/>
              </w:rPr>
            </w:pPr>
            <w:r>
              <w:rPr>
                <w:rFonts w:hint="eastAsia" w:ascii="黑体" w:hAnsi="黑体" w:eastAsia="黑体"/>
                <w:kern w:val="0"/>
                <w:szCs w:val="21"/>
              </w:rPr>
              <w:t>总计</w:t>
            </w:r>
          </w:p>
        </w:tc>
      </w:tr>
      <w:tr w14:paraId="0A58E2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62E5D1F8">
            <w:pPr>
              <w:jc w:val="center"/>
              <w:rPr>
                <w:rFonts w:ascii="仿宋_GB2312" w:hAnsi="Times New Roman" w:eastAsia="仿宋_GB2312"/>
                <w:szCs w:val="21"/>
              </w:rPr>
            </w:pPr>
          </w:p>
        </w:tc>
        <w:tc>
          <w:tcPr>
            <w:tcW w:w="742" w:type="dxa"/>
            <w:vMerge w:val="continue"/>
            <w:noWrap w:val="0"/>
            <w:tcMar>
              <w:left w:w="108" w:type="dxa"/>
              <w:right w:w="108" w:type="dxa"/>
            </w:tcMar>
            <w:vAlign w:val="center"/>
          </w:tcPr>
          <w:p w14:paraId="3A0398B7">
            <w:pPr>
              <w:jc w:val="center"/>
              <w:rPr>
                <w:rFonts w:ascii="黑体" w:hAnsi="黑体" w:eastAsia="黑体"/>
                <w:szCs w:val="21"/>
              </w:rPr>
            </w:pPr>
          </w:p>
        </w:tc>
        <w:tc>
          <w:tcPr>
            <w:tcW w:w="540" w:type="dxa"/>
            <w:noWrap w:val="0"/>
            <w:tcMar>
              <w:left w:w="108" w:type="dxa"/>
              <w:right w:w="108" w:type="dxa"/>
            </w:tcMar>
            <w:vAlign w:val="center"/>
          </w:tcPr>
          <w:p w14:paraId="60B8771C">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45" w:type="dxa"/>
            <w:noWrap w:val="0"/>
            <w:tcMar>
              <w:left w:w="108" w:type="dxa"/>
              <w:right w:w="108" w:type="dxa"/>
            </w:tcMar>
            <w:vAlign w:val="center"/>
          </w:tcPr>
          <w:p w14:paraId="21B591B8">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noWrap w:val="0"/>
            <w:tcMar>
              <w:left w:w="108" w:type="dxa"/>
              <w:right w:w="108" w:type="dxa"/>
            </w:tcMar>
            <w:vAlign w:val="center"/>
          </w:tcPr>
          <w:p w14:paraId="16D3D3EC">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noWrap w:val="0"/>
            <w:tcMar>
              <w:left w:w="108" w:type="dxa"/>
              <w:right w:w="108" w:type="dxa"/>
            </w:tcMar>
            <w:vAlign w:val="center"/>
          </w:tcPr>
          <w:p w14:paraId="1F10F560">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5" w:type="dxa"/>
            <w:noWrap w:val="0"/>
            <w:tcMar>
              <w:left w:w="108" w:type="dxa"/>
              <w:right w:w="108" w:type="dxa"/>
            </w:tcMar>
            <w:vAlign w:val="center"/>
          </w:tcPr>
          <w:p w14:paraId="4CB4C9DF">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1" w:type="dxa"/>
            <w:gridSpan w:val="2"/>
            <w:vMerge w:val="continue"/>
            <w:noWrap w:val="0"/>
            <w:tcMar>
              <w:left w:w="108" w:type="dxa"/>
              <w:right w:w="108" w:type="dxa"/>
            </w:tcMar>
            <w:vAlign w:val="center"/>
          </w:tcPr>
          <w:p w14:paraId="6D990A79">
            <w:pPr>
              <w:jc w:val="center"/>
              <w:rPr>
                <w:rFonts w:ascii="仿宋_GB2312" w:hAnsi="Times New Roman" w:eastAsia="仿宋_GB2312"/>
                <w:szCs w:val="21"/>
              </w:rPr>
            </w:pPr>
          </w:p>
        </w:tc>
      </w:tr>
      <w:tr w14:paraId="385F64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6F34EC02">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742" w:type="dxa"/>
            <w:noWrap w:val="0"/>
            <w:tcMar>
              <w:left w:w="108" w:type="dxa"/>
              <w:right w:w="108" w:type="dxa"/>
            </w:tcMar>
            <w:vAlign w:val="center"/>
          </w:tcPr>
          <w:p w14:paraId="36E8BEA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61</w:t>
            </w:r>
          </w:p>
        </w:tc>
        <w:tc>
          <w:tcPr>
            <w:tcW w:w="540" w:type="dxa"/>
            <w:noWrap w:val="0"/>
            <w:tcMar>
              <w:left w:w="108" w:type="dxa"/>
              <w:right w:w="108" w:type="dxa"/>
            </w:tcMar>
            <w:vAlign w:val="center"/>
          </w:tcPr>
          <w:p w14:paraId="560F0BD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5D11755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1EB258D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664F2DD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3440958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27CE2A8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61</w:t>
            </w:r>
          </w:p>
        </w:tc>
      </w:tr>
      <w:tr w14:paraId="31C53F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1DA01BD2">
            <w:pPr>
              <w:widowControl/>
              <w:rPr>
                <w:rFonts w:ascii="黑体" w:hAnsi="黑体" w:eastAsia="黑体"/>
                <w:szCs w:val="21"/>
              </w:rPr>
            </w:pPr>
            <w:r>
              <w:rPr>
                <w:rFonts w:hint="eastAsia" w:ascii="黑体" w:hAnsi="黑体" w:eastAsia="黑体"/>
                <w:kern w:val="0"/>
                <w:szCs w:val="21"/>
              </w:rPr>
              <w:t>二、上年结转政府信息公开申请数量</w:t>
            </w:r>
          </w:p>
        </w:tc>
        <w:tc>
          <w:tcPr>
            <w:tcW w:w="742" w:type="dxa"/>
            <w:noWrap w:val="0"/>
            <w:tcMar>
              <w:left w:w="108" w:type="dxa"/>
              <w:right w:w="108" w:type="dxa"/>
            </w:tcMar>
            <w:vAlign w:val="center"/>
          </w:tcPr>
          <w:p w14:paraId="4315036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3</w:t>
            </w:r>
          </w:p>
        </w:tc>
        <w:tc>
          <w:tcPr>
            <w:tcW w:w="540" w:type="dxa"/>
            <w:noWrap w:val="0"/>
            <w:tcMar>
              <w:left w:w="108" w:type="dxa"/>
              <w:right w:w="108" w:type="dxa"/>
            </w:tcMar>
            <w:vAlign w:val="center"/>
          </w:tcPr>
          <w:p w14:paraId="6D0746C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4B65278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38CEAA2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333CD73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4A62485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7E37BC0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3</w:t>
            </w:r>
          </w:p>
        </w:tc>
      </w:tr>
      <w:tr w14:paraId="7DFD6C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513D668C">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14:paraId="79CDBE71">
            <w:pPr>
              <w:widowControl/>
              <w:rPr>
                <w:rFonts w:ascii="黑体" w:hAnsi="黑体" w:eastAsia="黑体"/>
                <w:szCs w:val="21"/>
              </w:rPr>
            </w:pPr>
            <w:r>
              <w:rPr>
                <w:rFonts w:hint="eastAsia" w:ascii="黑体" w:hAnsi="黑体" w:eastAsia="黑体"/>
                <w:kern w:val="0"/>
                <w:szCs w:val="21"/>
              </w:rPr>
              <w:t>（一）予以公开</w:t>
            </w:r>
          </w:p>
        </w:tc>
        <w:tc>
          <w:tcPr>
            <w:tcW w:w="742" w:type="dxa"/>
            <w:noWrap w:val="0"/>
            <w:tcMar>
              <w:left w:w="108" w:type="dxa"/>
              <w:right w:w="108" w:type="dxa"/>
            </w:tcMar>
            <w:vAlign w:val="center"/>
          </w:tcPr>
          <w:p w14:paraId="55B6281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40</w:t>
            </w:r>
          </w:p>
        </w:tc>
        <w:tc>
          <w:tcPr>
            <w:tcW w:w="540" w:type="dxa"/>
            <w:noWrap w:val="0"/>
            <w:tcMar>
              <w:left w:w="108" w:type="dxa"/>
              <w:right w:w="108" w:type="dxa"/>
            </w:tcMar>
            <w:vAlign w:val="center"/>
          </w:tcPr>
          <w:p w14:paraId="284EAC4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3798C20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657377F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391C4C2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noWrap w:val="0"/>
            <w:tcMar>
              <w:left w:w="108" w:type="dxa"/>
              <w:right w:w="108" w:type="dxa"/>
            </w:tcMar>
            <w:vAlign w:val="center"/>
          </w:tcPr>
          <w:p w14:paraId="314EC08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noWrap w:val="0"/>
            <w:tcMar>
              <w:left w:w="108" w:type="dxa"/>
              <w:right w:w="108" w:type="dxa"/>
            </w:tcMar>
            <w:vAlign w:val="center"/>
          </w:tcPr>
          <w:p w14:paraId="0669CCF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40</w:t>
            </w:r>
          </w:p>
        </w:tc>
      </w:tr>
      <w:tr w14:paraId="2F1E27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CB3D15C">
            <w:pPr>
              <w:rPr>
                <w:rFonts w:ascii="黑体" w:hAnsi="黑体" w:eastAsia="黑体"/>
                <w:szCs w:val="21"/>
              </w:rPr>
            </w:pPr>
          </w:p>
        </w:tc>
        <w:tc>
          <w:tcPr>
            <w:tcW w:w="4677" w:type="dxa"/>
            <w:gridSpan w:val="2"/>
            <w:noWrap w:val="0"/>
            <w:tcMar>
              <w:left w:w="108" w:type="dxa"/>
              <w:right w:w="108" w:type="dxa"/>
            </w:tcMar>
            <w:vAlign w:val="center"/>
          </w:tcPr>
          <w:p w14:paraId="4466C5CD">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742" w:type="dxa"/>
            <w:noWrap w:val="0"/>
            <w:tcMar>
              <w:left w:w="108" w:type="dxa"/>
              <w:right w:w="108" w:type="dxa"/>
            </w:tcMar>
            <w:vAlign w:val="center"/>
          </w:tcPr>
          <w:p w14:paraId="6AF7104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8</w:t>
            </w:r>
          </w:p>
        </w:tc>
        <w:tc>
          <w:tcPr>
            <w:tcW w:w="540" w:type="dxa"/>
            <w:noWrap w:val="0"/>
            <w:tcMar>
              <w:left w:w="108" w:type="dxa"/>
              <w:right w:w="108" w:type="dxa"/>
            </w:tcMar>
            <w:vAlign w:val="center"/>
          </w:tcPr>
          <w:p w14:paraId="5805FCE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661584D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20F6903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0BF2E91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noWrap w:val="0"/>
            <w:tcMar>
              <w:left w:w="108" w:type="dxa"/>
              <w:right w:w="108" w:type="dxa"/>
            </w:tcMar>
            <w:vAlign w:val="center"/>
          </w:tcPr>
          <w:p w14:paraId="7C07B6A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noWrap w:val="0"/>
            <w:tcMar>
              <w:left w:w="108" w:type="dxa"/>
              <w:right w:w="108" w:type="dxa"/>
            </w:tcMar>
            <w:vAlign w:val="center"/>
          </w:tcPr>
          <w:p w14:paraId="3E16D4F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8</w:t>
            </w:r>
          </w:p>
        </w:tc>
      </w:tr>
      <w:tr w14:paraId="2C0E56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798B06B">
            <w:pPr>
              <w:rPr>
                <w:rFonts w:ascii="黑体" w:hAnsi="黑体" w:eastAsia="黑体"/>
                <w:szCs w:val="21"/>
              </w:rPr>
            </w:pPr>
          </w:p>
        </w:tc>
        <w:tc>
          <w:tcPr>
            <w:tcW w:w="1701" w:type="dxa"/>
            <w:vMerge w:val="restart"/>
            <w:noWrap w:val="0"/>
            <w:tcMar>
              <w:left w:w="108" w:type="dxa"/>
              <w:right w:w="108" w:type="dxa"/>
            </w:tcMar>
            <w:vAlign w:val="center"/>
          </w:tcPr>
          <w:p w14:paraId="1448B583">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14:paraId="35D7A86E">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1.属于国家秘密</w:t>
            </w:r>
          </w:p>
        </w:tc>
        <w:tc>
          <w:tcPr>
            <w:tcW w:w="742" w:type="dxa"/>
            <w:noWrap w:val="0"/>
            <w:tcMar>
              <w:left w:w="108" w:type="dxa"/>
              <w:right w:w="108" w:type="dxa"/>
            </w:tcMar>
            <w:vAlign w:val="center"/>
          </w:tcPr>
          <w:p w14:paraId="5BAB68C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noWrap w:val="0"/>
            <w:tcMar>
              <w:left w:w="108" w:type="dxa"/>
              <w:right w:w="108" w:type="dxa"/>
            </w:tcMar>
            <w:vAlign w:val="center"/>
          </w:tcPr>
          <w:p w14:paraId="62AD112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5066D91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14665E4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78DC6BF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3BC2512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08F38C7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4D3F8F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EFE5C34">
            <w:pPr>
              <w:rPr>
                <w:rFonts w:ascii="黑体" w:hAnsi="黑体" w:eastAsia="黑体"/>
                <w:szCs w:val="21"/>
              </w:rPr>
            </w:pPr>
          </w:p>
        </w:tc>
        <w:tc>
          <w:tcPr>
            <w:tcW w:w="1701" w:type="dxa"/>
            <w:vMerge w:val="continue"/>
            <w:noWrap w:val="0"/>
            <w:tcMar>
              <w:left w:w="108" w:type="dxa"/>
              <w:right w:w="108" w:type="dxa"/>
            </w:tcMar>
            <w:vAlign w:val="center"/>
          </w:tcPr>
          <w:p w14:paraId="61950CE6">
            <w:pPr>
              <w:spacing w:line="200" w:lineRule="exact"/>
              <w:rPr>
                <w:rFonts w:ascii="黑体" w:hAnsi="黑体" w:eastAsia="黑体"/>
                <w:szCs w:val="21"/>
              </w:rPr>
            </w:pPr>
          </w:p>
        </w:tc>
        <w:tc>
          <w:tcPr>
            <w:tcW w:w="2976" w:type="dxa"/>
            <w:noWrap w:val="0"/>
            <w:tcMar>
              <w:left w:w="108" w:type="dxa"/>
              <w:right w:w="108" w:type="dxa"/>
            </w:tcMar>
            <w:vAlign w:val="center"/>
          </w:tcPr>
          <w:p w14:paraId="758D4C70">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742" w:type="dxa"/>
            <w:noWrap w:val="0"/>
            <w:tcMar>
              <w:left w:w="108" w:type="dxa"/>
              <w:right w:w="108" w:type="dxa"/>
            </w:tcMar>
            <w:vAlign w:val="center"/>
          </w:tcPr>
          <w:p w14:paraId="46CCCEB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1</w:t>
            </w:r>
          </w:p>
        </w:tc>
        <w:tc>
          <w:tcPr>
            <w:tcW w:w="540" w:type="dxa"/>
            <w:noWrap w:val="0"/>
            <w:tcMar>
              <w:left w:w="108" w:type="dxa"/>
              <w:right w:w="108" w:type="dxa"/>
            </w:tcMar>
            <w:vAlign w:val="center"/>
          </w:tcPr>
          <w:p w14:paraId="58F923A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6232D7B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3E73EE2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07186D9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379CB52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47EB99D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1</w:t>
            </w:r>
          </w:p>
        </w:tc>
      </w:tr>
      <w:tr w14:paraId="1F2DC8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CA5CF85">
            <w:pPr>
              <w:rPr>
                <w:rFonts w:ascii="黑体" w:hAnsi="黑体" w:eastAsia="黑体"/>
                <w:szCs w:val="21"/>
              </w:rPr>
            </w:pPr>
          </w:p>
        </w:tc>
        <w:tc>
          <w:tcPr>
            <w:tcW w:w="1701" w:type="dxa"/>
            <w:vMerge w:val="continue"/>
            <w:noWrap w:val="0"/>
            <w:tcMar>
              <w:left w:w="108" w:type="dxa"/>
              <w:right w:w="108" w:type="dxa"/>
            </w:tcMar>
            <w:vAlign w:val="center"/>
          </w:tcPr>
          <w:p w14:paraId="0C90074A">
            <w:pPr>
              <w:spacing w:line="200" w:lineRule="exact"/>
              <w:rPr>
                <w:rFonts w:ascii="黑体" w:hAnsi="黑体" w:eastAsia="黑体"/>
                <w:szCs w:val="21"/>
              </w:rPr>
            </w:pPr>
          </w:p>
        </w:tc>
        <w:tc>
          <w:tcPr>
            <w:tcW w:w="2976" w:type="dxa"/>
            <w:noWrap w:val="0"/>
            <w:tcMar>
              <w:left w:w="108" w:type="dxa"/>
              <w:right w:w="108" w:type="dxa"/>
            </w:tcMar>
            <w:vAlign w:val="center"/>
          </w:tcPr>
          <w:p w14:paraId="079FF9FE">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3.危及“三安全一稳定”</w:t>
            </w:r>
          </w:p>
        </w:tc>
        <w:tc>
          <w:tcPr>
            <w:tcW w:w="742" w:type="dxa"/>
            <w:noWrap w:val="0"/>
            <w:tcMar>
              <w:left w:w="108" w:type="dxa"/>
              <w:right w:w="108" w:type="dxa"/>
            </w:tcMar>
            <w:vAlign w:val="center"/>
          </w:tcPr>
          <w:p w14:paraId="79C2D68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noWrap w:val="0"/>
            <w:tcMar>
              <w:left w:w="108" w:type="dxa"/>
              <w:right w:w="108" w:type="dxa"/>
            </w:tcMar>
            <w:vAlign w:val="center"/>
          </w:tcPr>
          <w:p w14:paraId="1DA3760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1403B20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5038FE8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3821AC2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7EC53C0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7953FC3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5E0996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8143A78">
            <w:pPr>
              <w:rPr>
                <w:rFonts w:ascii="黑体" w:hAnsi="黑体" w:eastAsia="黑体"/>
                <w:szCs w:val="21"/>
              </w:rPr>
            </w:pPr>
          </w:p>
        </w:tc>
        <w:tc>
          <w:tcPr>
            <w:tcW w:w="1701" w:type="dxa"/>
            <w:vMerge w:val="continue"/>
            <w:noWrap w:val="0"/>
            <w:tcMar>
              <w:left w:w="108" w:type="dxa"/>
              <w:right w:w="108" w:type="dxa"/>
            </w:tcMar>
            <w:vAlign w:val="center"/>
          </w:tcPr>
          <w:p w14:paraId="51160F78">
            <w:pPr>
              <w:spacing w:line="200" w:lineRule="exact"/>
              <w:rPr>
                <w:rFonts w:ascii="黑体" w:hAnsi="黑体" w:eastAsia="黑体"/>
                <w:szCs w:val="21"/>
              </w:rPr>
            </w:pPr>
          </w:p>
        </w:tc>
        <w:tc>
          <w:tcPr>
            <w:tcW w:w="2976" w:type="dxa"/>
            <w:noWrap w:val="0"/>
            <w:tcMar>
              <w:left w:w="108" w:type="dxa"/>
              <w:right w:w="108" w:type="dxa"/>
            </w:tcMar>
            <w:vAlign w:val="center"/>
          </w:tcPr>
          <w:p w14:paraId="0ED4AF87">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742" w:type="dxa"/>
            <w:noWrap w:val="0"/>
            <w:tcMar>
              <w:left w:w="108" w:type="dxa"/>
              <w:right w:w="108" w:type="dxa"/>
            </w:tcMar>
            <w:vAlign w:val="center"/>
          </w:tcPr>
          <w:p w14:paraId="36F218E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1</w:t>
            </w:r>
          </w:p>
        </w:tc>
        <w:tc>
          <w:tcPr>
            <w:tcW w:w="540" w:type="dxa"/>
            <w:noWrap w:val="0"/>
            <w:tcMar>
              <w:left w:w="108" w:type="dxa"/>
              <w:right w:w="108" w:type="dxa"/>
            </w:tcMar>
            <w:vAlign w:val="center"/>
          </w:tcPr>
          <w:p w14:paraId="1A0B5CF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20A8006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3DE6057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7FDD6F1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2A063F0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65E1D9F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1</w:t>
            </w:r>
          </w:p>
        </w:tc>
      </w:tr>
      <w:tr w14:paraId="44FB27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1CDFB86">
            <w:pPr>
              <w:rPr>
                <w:rFonts w:ascii="黑体" w:hAnsi="黑体" w:eastAsia="黑体"/>
                <w:szCs w:val="21"/>
              </w:rPr>
            </w:pPr>
          </w:p>
        </w:tc>
        <w:tc>
          <w:tcPr>
            <w:tcW w:w="1701" w:type="dxa"/>
            <w:vMerge w:val="continue"/>
            <w:noWrap w:val="0"/>
            <w:tcMar>
              <w:left w:w="108" w:type="dxa"/>
              <w:right w:w="108" w:type="dxa"/>
            </w:tcMar>
            <w:vAlign w:val="center"/>
          </w:tcPr>
          <w:p w14:paraId="712325DE">
            <w:pPr>
              <w:spacing w:line="200" w:lineRule="exact"/>
              <w:rPr>
                <w:rFonts w:ascii="黑体" w:hAnsi="黑体" w:eastAsia="黑体"/>
                <w:szCs w:val="21"/>
              </w:rPr>
            </w:pPr>
          </w:p>
        </w:tc>
        <w:tc>
          <w:tcPr>
            <w:tcW w:w="2976" w:type="dxa"/>
            <w:noWrap w:val="0"/>
            <w:tcMar>
              <w:left w:w="108" w:type="dxa"/>
              <w:right w:w="108" w:type="dxa"/>
            </w:tcMar>
            <w:vAlign w:val="center"/>
          </w:tcPr>
          <w:p w14:paraId="03321A64">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42" w:type="dxa"/>
            <w:noWrap w:val="0"/>
            <w:tcMar>
              <w:left w:w="108" w:type="dxa"/>
              <w:right w:w="108" w:type="dxa"/>
            </w:tcMar>
            <w:vAlign w:val="center"/>
          </w:tcPr>
          <w:p w14:paraId="7A61A26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3</w:t>
            </w:r>
          </w:p>
        </w:tc>
        <w:tc>
          <w:tcPr>
            <w:tcW w:w="540" w:type="dxa"/>
            <w:noWrap w:val="0"/>
            <w:tcMar>
              <w:left w:w="108" w:type="dxa"/>
              <w:right w:w="108" w:type="dxa"/>
            </w:tcMar>
            <w:vAlign w:val="center"/>
          </w:tcPr>
          <w:p w14:paraId="5F57730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795E00B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6B3EAAF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210508D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55A204E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2DC782B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3</w:t>
            </w:r>
          </w:p>
        </w:tc>
      </w:tr>
      <w:tr w14:paraId="63FEA1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CFE0056">
            <w:pPr>
              <w:rPr>
                <w:rFonts w:ascii="黑体" w:hAnsi="黑体" w:eastAsia="黑体"/>
                <w:szCs w:val="21"/>
              </w:rPr>
            </w:pPr>
          </w:p>
        </w:tc>
        <w:tc>
          <w:tcPr>
            <w:tcW w:w="1701" w:type="dxa"/>
            <w:vMerge w:val="continue"/>
            <w:noWrap w:val="0"/>
            <w:tcMar>
              <w:left w:w="108" w:type="dxa"/>
              <w:right w:w="108" w:type="dxa"/>
            </w:tcMar>
            <w:vAlign w:val="center"/>
          </w:tcPr>
          <w:p w14:paraId="3A069245">
            <w:pPr>
              <w:spacing w:line="200" w:lineRule="exact"/>
              <w:rPr>
                <w:rFonts w:ascii="黑体" w:hAnsi="黑体" w:eastAsia="黑体"/>
                <w:szCs w:val="21"/>
              </w:rPr>
            </w:pPr>
          </w:p>
        </w:tc>
        <w:tc>
          <w:tcPr>
            <w:tcW w:w="2976" w:type="dxa"/>
            <w:noWrap w:val="0"/>
            <w:tcMar>
              <w:left w:w="108" w:type="dxa"/>
              <w:right w:w="108" w:type="dxa"/>
            </w:tcMar>
            <w:vAlign w:val="center"/>
          </w:tcPr>
          <w:p w14:paraId="36636E44">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742" w:type="dxa"/>
            <w:noWrap w:val="0"/>
            <w:tcMar>
              <w:left w:w="108" w:type="dxa"/>
              <w:right w:w="108" w:type="dxa"/>
            </w:tcMar>
            <w:vAlign w:val="center"/>
          </w:tcPr>
          <w:p w14:paraId="5BF9573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noWrap w:val="0"/>
            <w:tcMar>
              <w:left w:w="108" w:type="dxa"/>
              <w:right w:w="108" w:type="dxa"/>
            </w:tcMar>
            <w:vAlign w:val="center"/>
          </w:tcPr>
          <w:p w14:paraId="131F114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2CD3154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54BC526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031478E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34682C6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11DB85F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138157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310A6B5">
            <w:pPr>
              <w:rPr>
                <w:rFonts w:ascii="黑体" w:hAnsi="黑体" w:eastAsia="黑体"/>
                <w:szCs w:val="21"/>
              </w:rPr>
            </w:pPr>
          </w:p>
        </w:tc>
        <w:tc>
          <w:tcPr>
            <w:tcW w:w="1701" w:type="dxa"/>
            <w:vMerge w:val="continue"/>
            <w:noWrap w:val="0"/>
            <w:tcMar>
              <w:left w:w="108" w:type="dxa"/>
              <w:right w:w="108" w:type="dxa"/>
            </w:tcMar>
            <w:vAlign w:val="center"/>
          </w:tcPr>
          <w:p w14:paraId="3D898976">
            <w:pPr>
              <w:spacing w:line="200" w:lineRule="exact"/>
              <w:rPr>
                <w:rFonts w:ascii="黑体" w:hAnsi="黑体" w:eastAsia="黑体"/>
                <w:szCs w:val="21"/>
              </w:rPr>
            </w:pPr>
          </w:p>
        </w:tc>
        <w:tc>
          <w:tcPr>
            <w:tcW w:w="2976" w:type="dxa"/>
            <w:noWrap w:val="0"/>
            <w:tcMar>
              <w:left w:w="108" w:type="dxa"/>
              <w:right w:w="108" w:type="dxa"/>
            </w:tcMar>
            <w:vAlign w:val="center"/>
          </w:tcPr>
          <w:p w14:paraId="13DD78FA">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7.属于行政执法案卷</w:t>
            </w:r>
          </w:p>
        </w:tc>
        <w:tc>
          <w:tcPr>
            <w:tcW w:w="742" w:type="dxa"/>
            <w:noWrap w:val="0"/>
            <w:tcMar>
              <w:left w:w="108" w:type="dxa"/>
              <w:right w:w="108" w:type="dxa"/>
            </w:tcMar>
            <w:vAlign w:val="center"/>
          </w:tcPr>
          <w:p w14:paraId="3096ADB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1</w:t>
            </w:r>
          </w:p>
        </w:tc>
        <w:tc>
          <w:tcPr>
            <w:tcW w:w="540" w:type="dxa"/>
            <w:noWrap w:val="0"/>
            <w:tcMar>
              <w:left w:w="108" w:type="dxa"/>
              <w:right w:w="108" w:type="dxa"/>
            </w:tcMar>
            <w:vAlign w:val="center"/>
          </w:tcPr>
          <w:p w14:paraId="0EDB3D0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4B45ECA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201C36D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4820C45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397B0FE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04DA089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1</w:t>
            </w:r>
          </w:p>
        </w:tc>
      </w:tr>
      <w:tr w14:paraId="7B8F54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760C312">
            <w:pPr>
              <w:rPr>
                <w:rFonts w:ascii="黑体" w:hAnsi="黑体" w:eastAsia="黑体"/>
                <w:szCs w:val="21"/>
              </w:rPr>
            </w:pPr>
          </w:p>
        </w:tc>
        <w:tc>
          <w:tcPr>
            <w:tcW w:w="1701" w:type="dxa"/>
            <w:vMerge w:val="continue"/>
            <w:noWrap w:val="0"/>
            <w:tcMar>
              <w:left w:w="108" w:type="dxa"/>
              <w:right w:w="108" w:type="dxa"/>
            </w:tcMar>
            <w:vAlign w:val="center"/>
          </w:tcPr>
          <w:p w14:paraId="211977E9">
            <w:pPr>
              <w:spacing w:line="200" w:lineRule="exact"/>
              <w:rPr>
                <w:rFonts w:ascii="黑体" w:hAnsi="黑体" w:eastAsia="黑体"/>
                <w:szCs w:val="21"/>
              </w:rPr>
            </w:pPr>
          </w:p>
        </w:tc>
        <w:tc>
          <w:tcPr>
            <w:tcW w:w="2976" w:type="dxa"/>
            <w:noWrap w:val="0"/>
            <w:tcMar>
              <w:left w:w="108" w:type="dxa"/>
              <w:right w:w="108" w:type="dxa"/>
            </w:tcMar>
            <w:vAlign w:val="center"/>
          </w:tcPr>
          <w:p w14:paraId="2FB49292">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742" w:type="dxa"/>
            <w:noWrap w:val="0"/>
            <w:tcMar>
              <w:left w:w="108" w:type="dxa"/>
              <w:right w:w="108" w:type="dxa"/>
            </w:tcMar>
            <w:vAlign w:val="center"/>
          </w:tcPr>
          <w:p w14:paraId="3EAC993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noWrap w:val="0"/>
            <w:tcMar>
              <w:left w:w="108" w:type="dxa"/>
              <w:right w:w="108" w:type="dxa"/>
            </w:tcMar>
            <w:vAlign w:val="center"/>
          </w:tcPr>
          <w:p w14:paraId="5341975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2E7BCE0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0E22145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4DFF2BB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32AA457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460D8E7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1E7CCB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34B5365">
            <w:pPr>
              <w:rPr>
                <w:rFonts w:ascii="黑体" w:hAnsi="黑体" w:eastAsia="黑体"/>
                <w:szCs w:val="21"/>
              </w:rPr>
            </w:pPr>
          </w:p>
        </w:tc>
        <w:tc>
          <w:tcPr>
            <w:tcW w:w="1701" w:type="dxa"/>
            <w:vMerge w:val="restart"/>
            <w:noWrap w:val="0"/>
            <w:tcMar>
              <w:left w:w="108" w:type="dxa"/>
              <w:right w:w="108" w:type="dxa"/>
            </w:tcMar>
            <w:vAlign w:val="center"/>
          </w:tcPr>
          <w:p w14:paraId="6498B358">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14:paraId="646F0295">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42" w:type="dxa"/>
            <w:noWrap w:val="0"/>
            <w:tcMar>
              <w:left w:w="108" w:type="dxa"/>
              <w:right w:w="108" w:type="dxa"/>
            </w:tcMar>
            <w:vAlign w:val="center"/>
          </w:tcPr>
          <w:p w14:paraId="40164EF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8</w:t>
            </w:r>
          </w:p>
        </w:tc>
        <w:tc>
          <w:tcPr>
            <w:tcW w:w="540" w:type="dxa"/>
            <w:noWrap w:val="0"/>
            <w:tcMar>
              <w:left w:w="108" w:type="dxa"/>
              <w:right w:w="108" w:type="dxa"/>
            </w:tcMar>
            <w:vAlign w:val="center"/>
          </w:tcPr>
          <w:p w14:paraId="49D4670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2401BCF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6C82001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30AC0FA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021C8EC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39BD374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8</w:t>
            </w:r>
          </w:p>
        </w:tc>
      </w:tr>
      <w:tr w14:paraId="76DEF7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976C49A">
            <w:pPr>
              <w:rPr>
                <w:rFonts w:ascii="黑体" w:hAnsi="黑体" w:eastAsia="黑体"/>
                <w:szCs w:val="21"/>
              </w:rPr>
            </w:pPr>
          </w:p>
        </w:tc>
        <w:tc>
          <w:tcPr>
            <w:tcW w:w="1701" w:type="dxa"/>
            <w:vMerge w:val="continue"/>
            <w:noWrap w:val="0"/>
            <w:tcMar>
              <w:left w:w="108" w:type="dxa"/>
              <w:right w:w="108" w:type="dxa"/>
            </w:tcMar>
            <w:vAlign w:val="center"/>
          </w:tcPr>
          <w:p w14:paraId="5C671161">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14:paraId="0025D333">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742" w:type="dxa"/>
            <w:noWrap w:val="0"/>
            <w:tcMar>
              <w:left w:w="108" w:type="dxa"/>
              <w:right w:w="108" w:type="dxa"/>
            </w:tcMar>
            <w:vAlign w:val="center"/>
          </w:tcPr>
          <w:p w14:paraId="071C5BC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noWrap w:val="0"/>
            <w:tcMar>
              <w:left w:w="108" w:type="dxa"/>
              <w:right w:w="108" w:type="dxa"/>
            </w:tcMar>
            <w:vAlign w:val="center"/>
          </w:tcPr>
          <w:p w14:paraId="7869D49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68525F5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4B10B77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2860264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37171BC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1CFC137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022066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155688E">
            <w:pPr>
              <w:rPr>
                <w:rFonts w:ascii="黑体" w:hAnsi="黑体" w:eastAsia="黑体"/>
                <w:szCs w:val="21"/>
              </w:rPr>
            </w:pPr>
          </w:p>
        </w:tc>
        <w:tc>
          <w:tcPr>
            <w:tcW w:w="1701" w:type="dxa"/>
            <w:vMerge w:val="continue"/>
            <w:noWrap w:val="0"/>
            <w:tcMar>
              <w:left w:w="108" w:type="dxa"/>
              <w:right w:w="108" w:type="dxa"/>
            </w:tcMar>
            <w:vAlign w:val="center"/>
          </w:tcPr>
          <w:p w14:paraId="7269A61A">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14:paraId="1D36D5A6">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742" w:type="dxa"/>
            <w:noWrap w:val="0"/>
            <w:tcMar>
              <w:left w:w="108" w:type="dxa"/>
              <w:right w:w="108" w:type="dxa"/>
            </w:tcMar>
            <w:vAlign w:val="center"/>
          </w:tcPr>
          <w:p w14:paraId="106D8D1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noWrap w:val="0"/>
            <w:tcMar>
              <w:left w:w="108" w:type="dxa"/>
              <w:right w:w="108" w:type="dxa"/>
            </w:tcMar>
            <w:vAlign w:val="center"/>
          </w:tcPr>
          <w:p w14:paraId="19FD32D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5F39547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5CCA958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55B740D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34623F2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10C2B99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7D208D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A27B307">
            <w:pPr>
              <w:rPr>
                <w:rFonts w:ascii="黑体" w:hAnsi="黑体" w:eastAsia="黑体"/>
                <w:szCs w:val="21"/>
              </w:rPr>
            </w:pPr>
          </w:p>
        </w:tc>
        <w:tc>
          <w:tcPr>
            <w:tcW w:w="1701" w:type="dxa"/>
            <w:vMerge w:val="restart"/>
            <w:noWrap w:val="0"/>
            <w:tcMar>
              <w:left w:w="108" w:type="dxa"/>
              <w:right w:w="108" w:type="dxa"/>
            </w:tcMar>
            <w:vAlign w:val="center"/>
          </w:tcPr>
          <w:p w14:paraId="68720C71">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14:paraId="51DC5DF6">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742" w:type="dxa"/>
            <w:noWrap w:val="0"/>
            <w:tcMar>
              <w:left w:w="108" w:type="dxa"/>
              <w:right w:w="108" w:type="dxa"/>
            </w:tcMar>
            <w:vAlign w:val="center"/>
          </w:tcPr>
          <w:p w14:paraId="3694A36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noWrap w:val="0"/>
            <w:tcMar>
              <w:left w:w="108" w:type="dxa"/>
              <w:right w:w="108" w:type="dxa"/>
            </w:tcMar>
            <w:vAlign w:val="center"/>
          </w:tcPr>
          <w:p w14:paraId="1EA893B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74D1521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3BA9623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4728468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323CD45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1803C84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1810FE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427A282">
            <w:pPr>
              <w:rPr>
                <w:rFonts w:ascii="黑体" w:hAnsi="黑体" w:eastAsia="黑体"/>
                <w:szCs w:val="21"/>
              </w:rPr>
            </w:pPr>
          </w:p>
        </w:tc>
        <w:tc>
          <w:tcPr>
            <w:tcW w:w="1701" w:type="dxa"/>
            <w:vMerge w:val="continue"/>
            <w:noWrap w:val="0"/>
            <w:tcMar>
              <w:left w:w="108" w:type="dxa"/>
              <w:right w:w="108" w:type="dxa"/>
            </w:tcMar>
            <w:vAlign w:val="center"/>
          </w:tcPr>
          <w:p w14:paraId="3F456F3C">
            <w:pPr>
              <w:spacing w:line="200" w:lineRule="exact"/>
              <w:rPr>
                <w:rFonts w:ascii="黑体" w:hAnsi="黑体" w:eastAsia="黑体"/>
                <w:szCs w:val="21"/>
              </w:rPr>
            </w:pPr>
          </w:p>
        </w:tc>
        <w:tc>
          <w:tcPr>
            <w:tcW w:w="2976" w:type="dxa"/>
            <w:noWrap w:val="0"/>
            <w:tcMar>
              <w:left w:w="108" w:type="dxa"/>
              <w:right w:w="108" w:type="dxa"/>
            </w:tcMar>
            <w:vAlign w:val="center"/>
          </w:tcPr>
          <w:p w14:paraId="148336DF">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2.重复申请</w:t>
            </w:r>
          </w:p>
        </w:tc>
        <w:tc>
          <w:tcPr>
            <w:tcW w:w="742" w:type="dxa"/>
            <w:noWrap w:val="0"/>
            <w:tcMar>
              <w:left w:w="108" w:type="dxa"/>
              <w:right w:w="108" w:type="dxa"/>
            </w:tcMar>
            <w:vAlign w:val="center"/>
          </w:tcPr>
          <w:p w14:paraId="4985E68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noWrap w:val="0"/>
            <w:tcMar>
              <w:left w:w="108" w:type="dxa"/>
              <w:right w:w="108" w:type="dxa"/>
            </w:tcMar>
            <w:vAlign w:val="center"/>
          </w:tcPr>
          <w:p w14:paraId="42BE643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7D3B347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3991621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34631DF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104CF0B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68A2CE6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640598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3AF98D3">
            <w:pPr>
              <w:rPr>
                <w:rFonts w:ascii="黑体" w:hAnsi="黑体" w:eastAsia="黑体"/>
                <w:szCs w:val="21"/>
              </w:rPr>
            </w:pPr>
          </w:p>
        </w:tc>
        <w:tc>
          <w:tcPr>
            <w:tcW w:w="1701" w:type="dxa"/>
            <w:vMerge w:val="continue"/>
            <w:noWrap w:val="0"/>
            <w:tcMar>
              <w:left w:w="108" w:type="dxa"/>
              <w:right w:w="108" w:type="dxa"/>
            </w:tcMar>
            <w:vAlign w:val="center"/>
          </w:tcPr>
          <w:p w14:paraId="614CC4F9">
            <w:pPr>
              <w:spacing w:line="200" w:lineRule="exact"/>
              <w:rPr>
                <w:rFonts w:ascii="黑体" w:hAnsi="黑体" w:eastAsia="黑体"/>
                <w:szCs w:val="21"/>
              </w:rPr>
            </w:pPr>
          </w:p>
        </w:tc>
        <w:tc>
          <w:tcPr>
            <w:tcW w:w="2976" w:type="dxa"/>
            <w:noWrap w:val="0"/>
            <w:tcMar>
              <w:left w:w="108" w:type="dxa"/>
              <w:right w:w="108" w:type="dxa"/>
            </w:tcMar>
            <w:vAlign w:val="center"/>
          </w:tcPr>
          <w:p w14:paraId="322946DA">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szCs w:val="21"/>
              </w:rPr>
            </w:pPr>
            <w:r>
              <w:rPr>
                <w:rFonts w:hint="eastAsia" w:ascii="仿宋_GB2312" w:hAnsi="黑体" w:eastAsia="仿宋_GB2312"/>
                <w:kern w:val="0"/>
                <w:szCs w:val="21"/>
              </w:rPr>
              <w:t>3.要求提供公开出版物</w:t>
            </w:r>
          </w:p>
        </w:tc>
        <w:tc>
          <w:tcPr>
            <w:tcW w:w="742" w:type="dxa"/>
            <w:noWrap w:val="0"/>
            <w:tcMar>
              <w:left w:w="108" w:type="dxa"/>
              <w:right w:w="108" w:type="dxa"/>
            </w:tcMar>
            <w:vAlign w:val="center"/>
          </w:tcPr>
          <w:p w14:paraId="53A2C16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noWrap w:val="0"/>
            <w:tcMar>
              <w:left w:w="108" w:type="dxa"/>
              <w:right w:w="108" w:type="dxa"/>
            </w:tcMar>
            <w:vAlign w:val="center"/>
          </w:tcPr>
          <w:p w14:paraId="454B101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0EC643F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36942BA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41B888E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374F1CB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5C09D84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3C9060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69FA79D0">
            <w:pPr>
              <w:rPr>
                <w:rFonts w:ascii="黑体" w:hAnsi="黑体" w:eastAsia="黑体"/>
                <w:szCs w:val="21"/>
              </w:rPr>
            </w:pPr>
          </w:p>
        </w:tc>
        <w:tc>
          <w:tcPr>
            <w:tcW w:w="1701" w:type="dxa"/>
            <w:vMerge w:val="continue"/>
            <w:noWrap w:val="0"/>
            <w:tcMar>
              <w:left w:w="108" w:type="dxa"/>
              <w:right w:w="108" w:type="dxa"/>
            </w:tcMar>
            <w:vAlign w:val="center"/>
          </w:tcPr>
          <w:p w14:paraId="620E3CFA">
            <w:pPr>
              <w:spacing w:line="200" w:lineRule="exact"/>
              <w:rPr>
                <w:rFonts w:ascii="黑体" w:hAnsi="黑体" w:eastAsia="黑体"/>
                <w:szCs w:val="21"/>
              </w:rPr>
            </w:pPr>
          </w:p>
        </w:tc>
        <w:tc>
          <w:tcPr>
            <w:tcW w:w="2976" w:type="dxa"/>
            <w:noWrap w:val="0"/>
            <w:tcMar>
              <w:left w:w="108" w:type="dxa"/>
              <w:right w:w="108" w:type="dxa"/>
            </w:tcMar>
            <w:vAlign w:val="center"/>
          </w:tcPr>
          <w:p w14:paraId="03842DC8">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szCs w:val="21"/>
              </w:rPr>
            </w:pPr>
            <w:r>
              <w:rPr>
                <w:rFonts w:hint="eastAsia" w:ascii="仿宋_GB2312" w:hAnsi="黑体" w:eastAsia="仿宋_GB2312"/>
                <w:kern w:val="0"/>
                <w:szCs w:val="21"/>
              </w:rPr>
              <w:t>4.无正当理由大量反复申请</w:t>
            </w:r>
          </w:p>
        </w:tc>
        <w:tc>
          <w:tcPr>
            <w:tcW w:w="742" w:type="dxa"/>
            <w:noWrap w:val="0"/>
            <w:tcMar>
              <w:left w:w="108" w:type="dxa"/>
              <w:right w:w="108" w:type="dxa"/>
            </w:tcMar>
            <w:vAlign w:val="center"/>
          </w:tcPr>
          <w:p w14:paraId="650F4E6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noWrap w:val="0"/>
            <w:tcMar>
              <w:left w:w="108" w:type="dxa"/>
              <w:right w:w="108" w:type="dxa"/>
            </w:tcMar>
            <w:vAlign w:val="center"/>
          </w:tcPr>
          <w:p w14:paraId="051D8E3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7874F2A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6231936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74CDA5D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7C79152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20322A3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66D859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31986AF">
            <w:pPr>
              <w:rPr>
                <w:rFonts w:ascii="黑体" w:hAnsi="黑体" w:eastAsia="黑体"/>
                <w:szCs w:val="21"/>
              </w:rPr>
            </w:pPr>
          </w:p>
        </w:tc>
        <w:tc>
          <w:tcPr>
            <w:tcW w:w="1701" w:type="dxa"/>
            <w:vMerge w:val="continue"/>
            <w:noWrap w:val="0"/>
            <w:tcMar>
              <w:left w:w="108" w:type="dxa"/>
              <w:right w:w="108" w:type="dxa"/>
            </w:tcMar>
            <w:vAlign w:val="center"/>
          </w:tcPr>
          <w:p w14:paraId="127CF561">
            <w:pPr>
              <w:spacing w:line="200" w:lineRule="exact"/>
              <w:rPr>
                <w:rFonts w:ascii="黑体" w:hAnsi="黑体" w:eastAsia="黑体"/>
                <w:szCs w:val="21"/>
              </w:rPr>
            </w:pPr>
          </w:p>
        </w:tc>
        <w:tc>
          <w:tcPr>
            <w:tcW w:w="2976" w:type="dxa"/>
            <w:noWrap w:val="0"/>
            <w:tcMar>
              <w:left w:w="108" w:type="dxa"/>
              <w:right w:w="108" w:type="dxa"/>
            </w:tcMar>
            <w:vAlign w:val="center"/>
          </w:tcPr>
          <w:p w14:paraId="661D4AAF">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5.要求行政机关确认或重新</w:t>
            </w:r>
          </w:p>
          <w:p w14:paraId="385F91E7">
            <w:pPr>
              <w:keepNext w:val="0"/>
              <w:keepLines w:val="0"/>
              <w:pageBreakBefore w:val="0"/>
              <w:widowControl/>
              <w:kinsoku/>
              <w:wordWrap/>
              <w:overflowPunct/>
              <w:topLinePunct w:val="0"/>
              <w:autoSpaceDE/>
              <w:autoSpaceDN/>
              <w:bidi w:val="0"/>
              <w:adjustRightInd/>
              <w:snapToGrid/>
              <w:spacing w:line="300" w:lineRule="exact"/>
              <w:ind w:firstLine="210" w:firstLineChars="100"/>
              <w:textAlignment w:val="auto"/>
              <w:rPr>
                <w:rFonts w:ascii="仿宋_GB2312" w:hAnsi="黑体" w:eastAsia="仿宋_GB2312"/>
                <w:szCs w:val="21"/>
              </w:rPr>
            </w:pPr>
            <w:r>
              <w:rPr>
                <w:rFonts w:hint="eastAsia" w:ascii="仿宋_GB2312" w:hAnsi="黑体" w:eastAsia="仿宋_GB2312"/>
                <w:kern w:val="0"/>
                <w:szCs w:val="21"/>
              </w:rPr>
              <w:t>出具已获取信息</w:t>
            </w:r>
          </w:p>
        </w:tc>
        <w:tc>
          <w:tcPr>
            <w:tcW w:w="742" w:type="dxa"/>
            <w:noWrap w:val="0"/>
            <w:tcMar>
              <w:left w:w="108" w:type="dxa"/>
              <w:right w:w="108" w:type="dxa"/>
            </w:tcMar>
            <w:vAlign w:val="center"/>
          </w:tcPr>
          <w:p w14:paraId="10F7AE8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noWrap w:val="0"/>
            <w:tcMar>
              <w:left w:w="108" w:type="dxa"/>
              <w:right w:w="108" w:type="dxa"/>
            </w:tcMar>
            <w:vAlign w:val="center"/>
          </w:tcPr>
          <w:p w14:paraId="4233181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177B4F4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465528A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127D811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64F71D2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0CEEEF6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181652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A90438A">
            <w:pPr>
              <w:rPr>
                <w:rFonts w:ascii="黑体" w:hAnsi="黑体" w:eastAsia="黑体"/>
                <w:szCs w:val="21"/>
              </w:rPr>
            </w:pPr>
          </w:p>
        </w:tc>
        <w:tc>
          <w:tcPr>
            <w:tcW w:w="1701" w:type="dxa"/>
            <w:vMerge w:val="restart"/>
            <w:noWrap w:val="0"/>
            <w:tcMar>
              <w:left w:w="108" w:type="dxa"/>
              <w:right w:w="108" w:type="dxa"/>
            </w:tcMar>
            <w:vAlign w:val="center"/>
          </w:tcPr>
          <w:p w14:paraId="24C6F2A6">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14:paraId="758F3622">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42" w:type="dxa"/>
            <w:noWrap w:val="0"/>
            <w:tcMar>
              <w:left w:w="108" w:type="dxa"/>
              <w:right w:w="108" w:type="dxa"/>
            </w:tcMar>
            <w:vAlign w:val="center"/>
          </w:tcPr>
          <w:p w14:paraId="1E84BE6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noWrap w:val="0"/>
            <w:tcMar>
              <w:left w:w="108" w:type="dxa"/>
              <w:right w:w="108" w:type="dxa"/>
            </w:tcMar>
            <w:vAlign w:val="center"/>
          </w:tcPr>
          <w:p w14:paraId="1F45CEF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0B1BB5E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76C7512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2CCC505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2BE8A83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40A2946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62A1FA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31B17FA">
            <w:pPr>
              <w:rPr>
                <w:rFonts w:ascii="黑体" w:hAnsi="黑体" w:eastAsia="黑体"/>
                <w:szCs w:val="21"/>
              </w:rPr>
            </w:pPr>
          </w:p>
        </w:tc>
        <w:tc>
          <w:tcPr>
            <w:tcW w:w="1701" w:type="dxa"/>
            <w:vMerge w:val="continue"/>
            <w:noWrap w:val="0"/>
            <w:tcMar>
              <w:left w:w="108" w:type="dxa"/>
              <w:right w:w="108" w:type="dxa"/>
            </w:tcMar>
            <w:vAlign w:val="center"/>
          </w:tcPr>
          <w:p w14:paraId="63BD8B89">
            <w:pPr>
              <w:widowControl/>
              <w:spacing w:line="300" w:lineRule="exact"/>
              <w:rPr>
                <w:rFonts w:ascii="黑体" w:hAnsi="黑体" w:eastAsia="黑体"/>
                <w:kern w:val="0"/>
                <w:szCs w:val="21"/>
              </w:rPr>
            </w:pPr>
          </w:p>
        </w:tc>
        <w:tc>
          <w:tcPr>
            <w:tcW w:w="2976" w:type="dxa"/>
            <w:noWrap w:val="0"/>
            <w:vAlign w:val="center"/>
          </w:tcPr>
          <w:p w14:paraId="2B11C16D">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42" w:type="dxa"/>
            <w:noWrap w:val="0"/>
            <w:tcMar>
              <w:left w:w="108" w:type="dxa"/>
              <w:right w:w="108" w:type="dxa"/>
            </w:tcMar>
            <w:vAlign w:val="center"/>
          </w:tcPr>
          <w:p w14:paraId="51C54DD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noWrap w:val="0"/>
            <w:tcMar>
              <w:left w:w="108" w:type="dxa"/>
              <w:right w:w="108" w:type="dxa"/>
            </w:tcMar>
            <w:vAlign w:val="center"/>
          </w:tcPr>
          <w:p w14:paraId="5F64325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3362AE2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0F6BA81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6101B82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6F91E8D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32BBD94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7A173A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0B59B13">
            <w:pPr>
              <w:rPr>
                <w:rFonts w:ascii="黑体" w:hAnsi="黑体" w:eastAsia="黑体"/>
                <w:szCs w:val="21"/>
              </w:rPr>
            </w:pPr>
          </w:p>
        </w:tc>
        <w:tc>
          <w:tcPr>
            <w:tcW w:w="1701" w:type="dxa"/>
            <w:vMerge w:val="continue"/>
            <w:noWrap w:val="0"/>
            <w:tcMar>
              <w:left w:w="108" w:type="dxa"/>
              <w:right w:w="108" w:type="dxa"/>
            </w:tcMar>
            <w:vAlign w:val="center"/>
          </w:tcPr>
          <w:p w14:paraId="4603B16E">
            <w:pPr>
              <w:widowControl/>
              <w:spacing w:line="300" w:lineRule="exact"/>
              <w:rPr>
                <w:rFonts w:ascii="黑体" w:hAnsi="黑体" w:eastAsia="黑体"/>
                <w:kern w:val="0"/>
                <w:szCs w:val="21"/>
              </w:rPr>
            </w:pPr>
          </w:p>
        </w:tc>
        <w:tc>
          <w:tcPr>
            <w:tcW w:w="2976" w:type="dxa"/>
            <w:noWrap w:val="0"/>
            <w:vAlign w:val="center"/>
          </w:tcPr>
          <w:p w14:paraId="75B9F769">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楷体" w:eastAsia="仿宋_GB2312"/>
              </w:rPr>
              <w:t>3.其他</w:t>
            </w:r>
          </w:p>
        </w:tc>
        <w:tc>
          <w:tcPr>
            <w:tcW w:w="742" w:type="dxa"/>
            <w:noWrap w:val="0"/>
            <w:tcMar>
              <w:left w:w="108" w:type="dxa"/>
              <w:right w:w="108" w:type="dxa"/>
            </w:tcMar>
            <w:vAlign w:val="center"/>
          </w:tcPr>
          <w:p w14:paraId="73ADDCC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noWrap w:val="0"/>
            <w:tcMar>
              <w:left w:w="108" w:type="dxa"/>
              <w:right w:w="108" w:type="dxa"/>
            </w:tcMar>
            <w:vAlign w:val="center"/>
          </w:tcPr>
          <w:p w14:paraId="7018743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53A2715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480B375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6987323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0154A58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44C2030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lang w:val="en-US"/>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016AA7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D29FCAB">
            <w:pPr>
              <w:rPr>
                <w:rFonts w:ascii="黑体" w:hAnsi="黑体" w:eastAsia="黑体"/>
                <w:szCs w:val="21"/>
              </w:rPr>
            </w:pPr>
          </w:p>
        </w:tc>
        <w:tc>
          <w:tcPr>
            <w:tcW w:w="4677" w:type="dxa"/>
            <w:gridSpan w:val="2"/>
            <w:noWrap w:val="0"/>
            <w:tcMar>
              <w:left w:w="108" w:type="dxa"/>
              <w:right w:w="108" w:type="dxa"/>
            </w:tcMar>
            <w:vAlign w:val="center"/>
          </w:tcPr>
          <w:p w14:paraId="1C1DBD9D">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742" w:type="dxa"/>
            <w:noWrap w:val="0"/>
            <w:tcMar>
              <w:left w:w="108" w:type="dxa"/>
              <w:right w:w="108" w:type="dxa"/>
            </w:tcMar>
            <w:vAlign w:val="center"/>
          </w:tcPr>
          <w:p w14:paraId="56B00B2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62</w:t>
            </w:r>
          </w:p>
        </w:tc>
        <w:tc>
          <w:tcPr>
            <w:tcW w:w="540" w:type="dxa"/>
            <w:noWrap w:val="0"/>
            <w:tcMar>
              <w:left w:w="108" w:type="dxa"/>
              <w:right w:w="108" w:type="dxa"/>
            </w:tcMar>
            <w:vAlign w:val="center"/>
          </w:tcPr>
          <w:p w14:paraId="43B8817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6C37093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31B8F0E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7B66A35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534448E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782D75C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62</w:t>
            </w:r>
          </w:p>
        </w:tc>
      </w:tr>
      <w:tr w14:paraId="5AC495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632D7D6B">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742" w:type="dxa"/>
            <w:noWrap w:val="0"/>
            <w:tcMar>
              <w:left w:w="108" w:type="dxa"/>
              <w:right w:w="108" w:type="dxa"/>
            </w:tcMar>
            <w:vAlign w:val="center"/>
          </w:tcPr>
          <w:p w14:paraId="2CF119C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2</w:t>
            </w:r>
          </w:p>
        </w:tc>
        <w:tc>
          <w:tcPr>
            <w:tcW w:w="540" w:type="dxa"/>
            <w:noWrap w:val="0"/>
            <w:tcMar>
              <w:left w:w="108" w:type="dxa"/>
              <w:right w:w="108" w:type="dxa"/>
            </w:tcMar>
            <w:vAlign w:val="center"/>
          </w:tcPr>
          <w:p w14:paraId="5E8EF52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5" w:type="dxa"/>
            <w:noWrap w:val="0"/>
            <w:tcMar>
              <w:left w:w="108" w:type="dxa"/>
              <w:right w:w="108" w:type="dxa"/>
            </w:tcMar>
            <w:vAlign w:val="center"/>
          </w:tcPr>
          <w:p w14:paraId="3384842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407E139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5619738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4E3F42A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1182F2C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2</w:t>
            </w:r>
          </w:p>
        </w:tc>
      </w:tr>
    </w:tbl>
    <w:p w14:paraId="5696E7C0">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eastAsia="仿宋_GB2312"/>
          <w:sz w:val="32"/>
          <w:szCs w:val="32"/>
        </w:rPr>
      </w:pPr>
      <w:r>
        <w:rPr>
          <w:rFonts w:hint="eastAsia" w:ascii="黑体" w:hAnsi="黑体" w:eastAsia="黑体" w:cs="黑体"/>
          <w:b w:val="0"/>
          <w:bCs/>
          <w:i w:val="0"/>
          <w:caps w:val="0"/>
          <w:color w:val="333333"/>
          <w:spacing w:val="0"/>
          <w:kern w:val="0"/>
          <w:sz w:val="32"/>
          <w:szCs w:val="32"/>
          <w:shd w:val="clear" w:color="auto" w:fill="FFFFFF"/>
          <w:lang w:val="en-US" w:eastAsia="zh-CN" w:bidi="ar"/>
        </w:rPr>
        <w:t>四、政府信息公开行政复议、行政诉讼情况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2E9004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368E3C8">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05A61B67">
            <w:pPr>
              <w:widowControl/>
              <w:jc w:val="center"/>
              <w:rPr>
                <w:rFonts w:ascii="黑体" w:hAnsi="黑体" w:eastAsia="黑体"/>
              </w:rPr>
            </w:pPr>
            <w:r>
              <w:rPr>
                <w:rFonts w:ascii="黑体" w:hAnsi="黑体" w:eastAsia="黑体"/>
                <w:kern w:val="0"/>
                <w:sz w:val="20"/>
                <w:szCs w:val="20"/>
              </w:rPr>
              <w:t>行政诉讼</w:t>
            </w:r>
          </w:p>
        </w:tc>
      </w:tr>
      <w:tr w14:paraId="0DCE2E2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2A55448B">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4422A203">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44657B4E">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2BE40AC9">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6383E3FC">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24906114">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46ABAA01">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463A5B59">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645A97BD">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40D0D842">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14:paraId="376D716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6C8A20BC">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0183FB90">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58F3E4BF">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0993E680">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7F501D35">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2BAE76B1">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3D655C4">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4B6C11E">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73DC5997">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563CEC1">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166C0D8D">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791E7F6">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D9D3FC8">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537E4BC">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295AC570">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6D7C6D6">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1268B7EC">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462F447">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30BF38B">
            <w:pPr>
              <w:widowControl/>
              <w:jc w:val="center"/>
              <w:rPr>
                <w:rFonts w:ascii="黑体" w:hAnsi="黑体" w:eastAsia="黑体"/>
              </w:rPr>
            </w:pPr>
            <w:r>
              <w:rPr>
                <w:rFonts w:ascii="黑体" w:hAnsi="黑体" w:eastAsia="黑体"/>
                <w:kern w:val="0"/>
                <w:sz w:val="20"/>
                <w:szCs w:val="20"/>
              </w:rPr>
              <w:t>总计</w:t>
            </w:r>
          </w:p>
        </w:tc>
      </w:tr>
      <w:tr w14:paraId="4FBA40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2" w:hRule="atLeast"/>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CC9BE4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6</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10CB8E0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2</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6593B6C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5</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724E403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52382F9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13</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74D7FBD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E43B75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EAD439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1</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5C8163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5640BB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1</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7CBE39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EF028F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64259F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2</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4C0388C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4ABE62C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2</w:t>
            </w:r>
          </w:p>
        </w:tc>
      </w:tr>
    </w:tbl>
    <w:p w14:paraId="20F1BFF3">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i w:val="0"/>
          <w:caps w:val="0"/>
          <w:color w:val="000000"/>
          <w:spacing w:val="0"/>
          <w:kern w:val="0"/>
          <w:sz w:val="32"/>
          <w:szCs w:val="32"/>
          <w:u w:val="none"/>
          <w:lang w:val="en-US" w:eastAsia="zh-CN" w:bidi="ar"/>
        </w:rPr>
      </w:pPr>
      <w:r>
        <w:rPr>
          <w:rFonts w:hint="eastAsia" w:ascii="黑体" w:hAnsi="黑体" w:eastAsia="黑体" w:cs="黑体"/>
          <w:b w:val="0"/>
          <w:bCs/>
          <w:i w:val="0"/>
          <w:caps w:val="0"/>
          <w:color w:val="333333"/>
          <w:spacing w:val="0"/>
          <w:kern w:val="0"/>
          <w:sz w:val="32"/>
          <w:szCs w:val="32"/>
          <w:u w:val="none"/>
          <w:shd w:val="clear" w:color="auto" w:fill="FFFFFF"/>
          <w:lang w:val="en-US" w:eastAsia="zh-CN" w:bidi="ar"/>
        </w:rPr>
        <w:t>五、存在的主要问题及改进情况</w:t>
      </w:r>
    </w:p>
    <w:p w14:paraId="585C8EF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楷体_GB2312" w:hAnsi="楷体_GB2312" w:eastAsia="楷体_GB2312" w:cs="楷体_GB2312"/>
          <w:i w:val="0"/>
          <w:caps w:val="0"/>
          <w:color w:val="000000" w:themeColor="text1"/>
          <w:spacing w:val="0"/>
          <w:kern w:val="2"/>
          <w:sz w:val="32"/>
          <w:szCs w:val="32"/>
          <w:u w:val="none"/>
          <w:shd w:val="clear" w:color="auto" w:fill="FFFFFF"/>
          <w:lang w:val="en-US" w:eastAsia="zh-CN" w:bidi="ar-SA"/>
          <w14:textFill>
            <w14:solidFill>
              <w14:schemeClr w14:val="tx1"/>
            </w14:solidFill>
          </w14:textFill>
        </w:rPr>
      </w:pPr>
      <w:r>
        <w:rPr>
          <w:rFonts w:hint="eastAsia" w:ascii="楷体_GB2312" w:hAnsi="楷体_GB2312" w:eastAsia="楷体_GB2312" w:cs="楷体_GB2312"/>
          <w:i w:val="0"/>
          <w:caps w:val="0"/>
          <w:color w:val="000000" w:themeColor="text1"/>
          <w:spacing w:val="0"/>
          <w:kern w:val="2"/>
          <w:sz w:val="32"/>
          <w:szCs w:val="32"/>
          <w:u w:val="none"/>
          <w:shd w:val="clear" w:color="auto" w:fill="FFFFFF"/>
          <w:lang w:val="en-US" w:eastAsia="zh-CN" w:bidi="ar-SA"/>
          <w14:textFill>
            <w14:solidFill>
              <w14:schemeClr w14:val="tx1"/>
            </w14:solidFill>
          </w14:textFill>
        </w:rPr>
        <w:t>（一）存在的主要问题</w:t>
      </w:r>
    </w:p>
    <w:p w14:paraId="2BD5187D">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default" w:ascii="楷体_GB2312" w:hAnsi="楷体_GB2312" w:eastAsia="仿宋_GB2312" w:cs="楷体_GB2312"/>
          <w:i w:val="0"/>
          <w:caps w:val="0"/>
          <w:color w:val="000000" w:themeColor="text1"/>
          <w:spacing w:val="0"/>
          <w:kern w:val="2"/>
          <w:sz w:val="32"/>
          <w:szCs w:val="32"/>
          <w:u w:val="none"/>
          <w:shd w:val="clear" w:color="auto" w:fill="FFFFFF"/>
          <w:lang w:val="en-US" w:eastAsia="zh-CN" w:bidi="ar-SA"/>
          <w14:textFill>
            <w14:solidFill>
              <w14:schemeClr w14:val="tx1"/>
            </w14:solidFill>
          </w14:textFill>
        </w:rPr>
      </w:pPr>
      <w:r>
        <w:rPr>
          <w:rFonts w:hint="eastAsia" w:ascii="仿宋_GB2312" w:hAnsi="仿宋_GB2312" w:eastAsia="仿宋_GB2312" w:cs="仿宋_GB2312"/>
          <w:b/>
          <w:bCs/>
          <w:i w:val="0"/>
          <w:caps w:val="0"/>
          <w:color w:val="000000" w:themeColor="text1"/>
          <w:spacing w:val="0"/>
          <w:kern w:val="2"/>
          <w:sz w:val="32"/>
          <w:szCs w:val="32"/>
          <w:u w:val="none"/>
          <w:shd w:val="clear" w:color="auto" w:fill="FFFFFF"/>
          <w:lang w:val="en-US" w:eastAsia="zh-CN" w:bidi="ar-SA"/>
          <w14:textFill>
            <w14:solidFill>
              <w14:schemeClr w14:val="tx1"/>
            </w14:solidFill>
          </w14:textFill>
        </w:rPr>
        <w:t>一是</w:t>
      </w:r>
      <w:r>
        <w:rPr>
          <w:rFonts w:hint="eastAsia" w:ascii="仿宋_GB2312" w:hAnsi="仿宋_GB2312" w:eastAsia="仿宋_GB2312" w:cs="仿宋_GB2312"/>
          <w:i w:val="0"/>
          <w:caps w:val="0"/>
          <w:color w:val="000000" w:themeColor="text1"/>
          <w:spacing w:val="0"/>
          <w:kern w:val="2"/>
          <w:sz w:val="32"/>
          <w:szCs w:val="32"/>
          <w:u w:val="none"/>
          <w:shd w:val="clear" w:color="auto" w:fill="FFFFFF"/>
          <w:lang w:val="en-US" w:eastAsia="zh-CN" w:bidi="ar-SA"/>
          <w14:textFill>
            <w14:solidFill>
              <w14:schemeClr w14:val="tx1"/>
            </w14:solidFill>
          </w14:textFill>
        </w:rPr>
        <w:t>个别单位信息公开的质量有待提高，信息未及时更新发布、格式不规范等问题依然存在。</w:t>
      </w:r>
      <w:r>
        <w:rPr>
          <w:rFonts w:hint="eastAsia" w:ascii="仿宋_GB2312" w:hAnsi="仿宋_GB2312" w:eastAsia="仿宋_GB2312" w:cs="仿宋_GB2312"/>
          <w:b/>
          <w:bCs/>
          <w:i w:val="0"/>
          <w:caps w:val="0"/>
          <w:color w:val="000000" w:themeColor="text1"/>
          <w:spacing w:val="0"/>
          <w:kern w:val="2"/>
          <w:sz w:val="32"/>
          <w:szCs w:val="32"/>
          <w:u w:val="none"/>
          <w:shd w:val="clear" w:color="auto" w:fill="FFFFFF"/>
          <w:lang w:val="en-US" w:eastAsia="zh-CN" w:bidi="ar-SA"/>
          <w14:textFill>
            <w14:solidFill>
              <w14:schemeClr w14:val="tx1"/>
            </w14:solidFill>
          </w14:textFill>
        </w:rPr>
        <w:t>二是</w:t>
      </w:r>
      <w:r>
        <w:rPr>
          <w:rFonts w:hint="eastAsia" w:ascii="仿宋_GB2312" w:hAnsi="仿宋_GB2312" w:eastAsia="仿宋_GB2312" w:cs="仿宋_GB2312"/>
          <w:i w:val="0"/>
          <w:caps w:val="0"/>
          <w:color w:val="000000" w:themeColor="text1"/>
          <w:spacing w:val="0"/>
          <w:kern w:val="2"/>
          <w:sz w:val="32"/>
          <w:szCs w:val="32"/>
          <w:u w:val="none"/>
          <w:shd w:val="clear" w:color="auto" w:fill="FFFFFF"/>
          <w:lang w:val="en-US" w:eastAsia="zh-CN" w:bidi="ar-SA"/>
          <w14:textFill>
            <w14:solidFill>
              <w14:schemeClr w14:val="tx1"/>
            </w14:solidFill>
          </w14:textFill>
        </w:rPr>
        <w:t>依申请公开办理质效有待提高，年内因政府信息公开引起的行政复议案件数量较去年上升。</w:t>
      </w:r>
      <w:r>
        <w:rPr>
          <w:rFonts w:hint="eastAsia" w:ascii="仿宋_GB2312" w:hAnsi="仿宋_GB2312" w:eastAsia="仿宋_GB2312" w:cs="仿宋_GB2312"/>
          <w:b/>
          <w:bCs/>
          <w:i w:val="0"/>
          <w:caps w:val="0"/>
          <w:color w:val="000000" w:themeColor="text1"/>
          <w:spacing w:val="0"/>
          <w:kern w:val="2"/>
          <w:sz w:val="32"/>
          <w:szCs w:val="32"/>
          <w:u w:val="none"/>
          <w:shd w:val="clear" w:color="auto" w:fill="FFFFFF"/>
          <w:lang w:val="en-US" w:eastAsia="zh-CN" w:bidi="ar-SA"/>
          <w14:textFill>
            <w14:solidFill>
              <w14:schemeClr w14:val="tx1"/>
            </w14:solidFill>
          </w14:textFill>
        </w:rPr>
        <w:t>三是</w:t>
      </w:r>
      <w:r>
        <w:rPr>
          <w:rFonts w:hint="eastAsia" w:ascii="仿宋_GB2312" w:hAnsi="仿宋_GB2312" w:eastAsia="仿宋_GB2312" w:cs="仿宋_GB2312"/>
          <w:i w:val="0"/>
          <w:caps w:val="0"/>
          <w:color w:val="000000" w:themeColor="text1"/>
          <w:spacing w:val="0"/>
          <w:kern w:val="2"/>
          <w:sz w:val="32"/>
          <w:szCs w:val="32"/>
          <w:u w:val="none"/>
          <w:shd w:val="clear" w:color="auto" w:fill="FFFFFF"/>
          <w:lang w:val="en-US" w:eastAsia="zh-CN" w:bidi="ar-SA"/>
          <w14:textFill>
            <w14:solidFill>
              <w14:schemeClr w14:val="tx1"/>
            </w14:solidFill>
          </w14:textFill>
        </w:rPr>
        <w:t>政策解读的质效有待提高，与企业群众充分掌握了解政策的实际需求还有差距。</w:t>
      </w:r>
    </w:p>
    <w:p w14:paraId="61068B96">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楷体_GB2312" w:hAnsi="楷体_GB2312" w:eastAsia="楷体_GB2312" w:cs="楷体_GB2312"/>
          <w:i w:val="0"/>
          <w:caps w:val="0"/>
          <w:color w:val="000000" w:themeColor="text1"/>
          <w:spacing w:val="0"/>
          <w:kern w:val="2"/>
          <w:sz w:val="32"/>
          <w:szCs w:val="32"/>
          <w:u w:val="none"/>
          <w:shd w:val="clear" w:color="auto" w:fill="FFFFFF"/>
          <w:lang w:val="en-US" w:eastAsia="zh-CN" w:bidi="ar-SA"/>
          <w14:textFill>
            <w14:solidFill>
              <w14:schemeClr w14:val="tx1"/>
            </w14:solidFill>
          </w14:textFill>
        </w:rPr>
      </w:pPr>
      <w:r>
        <w:rPr>
          <w:rFonts w:hint="eastAsia" w:ascii="楷体_GB2312" w:hAnsi="楷体_GB2312" w:eastAsia="楷体_GB2312" w:cs="楷体_GB2312"/>
          <w:i w:val="0"/>
          <w:caps w:val="0"/>
          <w:color w:val="000000" w:themeColor="text1"/>
          <w:spacing w:val="0"/>
          <w:kern w:val="2"/>
          <w:sz w:val="32"/>
          <w:szCs w:val="32"/>
          <w:u w:val="none"/>
          <w:shd w:val="clear" w:color="auto" w:fill="FFFFFF"/>
          <w:lang w:val="en-US" w:eastAsia="zh-CN" w:bidi="ar-SA"/>
          <w14:textFill>
            <w14:solidFill>
              <w14:schemeClr w14:val="tx1"/>
            </w14:solidFill>
          </w14:textFill>
        </w:rPr>
        <w:t>（二）改进情况</w:t>
      </w:r>
    </w:p>
    <w:p w14:paraId="01A25F5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default" w:ascii="仿宋_GB2312" w:hAnsi="仿宋_GB2312" w:eastAsia="仿宋_GB2312" w:cs="仿宋_GB2312"/>
          <w:i w:val="0"/>
          <w:caps w:val="0"/>
          <w:color w:val="000000" w:themeColor="text1"/>
          <w:spacing w:val="0"/>
          <w:kern w:val="2"/>
          <w:sz w:val="32"/>
          <w:szCs w:val="32"/>
          <w:u w:val="single"/>
          <w:shd w:val="clear" w:color="auto" w:fill="FFFFFF"/>
          <w:lang w:val="en-US" w:eastAsia="zh-CN" w:bidi="ar-SA"/>
          <w14:textFill>
            <w14:solidFill>
              <w14:schemeClr w14:val="tx1"/>
            </w14:solidFill>
          </w14:textFill>
        </w:rPr>
      </w:pPr>
      <w:r>
        <w:rPr>
          <w:rFonts w:hint="eastAsia" w:ascii="仿宋_GB2312" w:hAnsi="仿宋_GB2312" w:eastAsia="仿宋_GB2312" w:cs="仿宋_GB2312"/>
          <w:b/>
          <w:bCs/>
          <w:i w:val="0"/>
          <w:caps w:val="0"/>
          <w:color w:val="000000" w:themeColor="text1"/>
          <w:spacing w:val="0"/>
          <w:kern w:val="2"/>
          <w:sz w:val="32"/>
          <w:szCs w:val="32"/>
          <w:u w:val="none"/>
          <w:shd w:val="clear" w:color="auto" w:fill="FFFFFF"/>
          <w:lang w:val="en-US" w:eastAsia="zh-CN" w:bidi="ar-SA"/>
          <w14:textFill>
            <w14:solidFill>
              <w14:schemeClr w14:val="tx1"/>
            </w14:solidFill>
          </w14:textFill>
        </w:rPr>
        <w:t>一是</w:t>
      </w:r>
      <w:r>
        <w:rPr>
          <w:rFonts w:hint="eastAsia" w:ascii="仿宋_GB2312" w:hAnsi="仿宋_GB2312" w:eastAsia="仿宋_GB2312" w:cs="仿宋_GB2312"/>
          <w:i w:val="0"/>
          <w:caps w:val="0"/>
          <w:color w:val="000000" w:themeColor="text1"/>
          <w:spacing w:val="0"/>
          <w:kern w:val="2"/>
          <w:sz w:val="32"/>
          <w:szCs w:val="32"/>
          <w:u w:val="none"/>
          <w:shd w:val="clear" w:color="auto" w:fill="FFFFFF"/>
          <w:lang w:val="en-US" w:eastAsia="zh-CN" w:bidi="ar-SA"/>
          <w14:textFill>
            <w14:solidFill>
              <w14:schemeClr w14:val="tx1"/>
            </w14:solidFill>
          </w14:textFill>
        </w:rPr>
        <w:t>加强网站日常检查，对重点领域、公共企事业单位等信息公开加大监测力度，对发现的政府网站栏目信息更新不及时、发布不规范、敏感信息、错误表述等问题，通过问题通报、“一对一”反馈等形式，督促相关部门、单位及时整改，跟进问题整改情况；同时，督促各部门、单位严格落实信息发布审核制度要求，从严审核把关，确保信息发布质量。</w:t>
      </w:r>
    </w:p>
    <w:p w14:paraId="4417375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default" w:ascii="仿宋_GB2312" w:eastAsia="仿宋_GB2312"/>
          <w:sz w:val="32"/>
          <w:szCs w:val="32"/>
          <w:lang w:val="en-US" w:eastAsia="zh-CN"/>
        </w:rPr>
      </w:pPr>
      <w:r>
        <w:rPr>
          <w:rFonts w:hint="eastAsia" w:ascii="仿宋_GB2312" w:eastAsia="仿宋_GB2312"/>
          <w:b/>
          <w:bCs/>
          <w:sz w:val="32"/>
          <w:szCs w:val="32"/>
          <w:lang w:val="en-US" w:eastAsia="zh-CN"/>
        </w:rPr>
        <w:t>二是</w:t>
      </w:r>
      <w:r>
        <w:rPr>
          <w:rFonts w:hint="eastAsia" w:ascii="仿宋_GB2312" w:eastAsia="仿宋_GB2312"/>
          <w:sz w:val="32"/>
          <w:szCs w:val="32"/>
          <w:lang w:val="en-US" w:eastAsia="zh-CN"/>
        </w:rPr>
        <w:t>规范全区依申请公开办理程序、答复文书，围绕在依申请公开办理过程中的常见问题、注意事项等，组织各部门、单位开展业务培训，提升办理水平；完善工作机制，对各部门、单位依申请公开办理情况进行定期调度、分析研判，强化协同配合；增强服务理念，加强办理过程中与申请人的沟通交流，注重温情服务，提升公众满意度。</w:t>
      </w:r>
    </w:p>
    <w:p w14:paraId="59D4B2E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深入开展政策解读，开展全区政策解读优秀案例评选活动，加强对各文件起草单位解读材料质量的审核把关，围绕政策文件的公众关注重点和理解难点，以企业群众需求为导向，从企业群众视角出发，采用图片图表、动漫视频、新闻发布会等多形式、多角度精准开展政策解读，确保解读材料内容上通俗易懂、形式上喜闻乐见，真正让群众读得懂、记得住、用得上。</w:t>
      </w:r>
    </w:p>
    <w:p w14:paraId="2F01779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i w:val="0"/>
          <w:caps w:val="0"/>
          <w:color w:val="333333"/>
          <w:spacing w:val="0"/>
          <w:kern w:val="0"/>
          <w:sz w:val="32"/>
          <w:szCs w:val="32"/>
          <w:u w:val="none"/>
          <w:shd w:val="clear" w:color="auto" w:fill="FFFFFF"/>
          <w:lang w:val="en-US" w:eastAsia="zh-CN" w:bidi="ar"/>
        </w:rPr>
      </w:pPr>
      <w:r>
        <w:rPr>
          <w:rFonts w:hint="eastAsia" w:ascii="黑体" w:hAnsi="黑体" w:eastAsia="黑体" w:cs="黑体"/>
          <w:b w:val="0"/>
          <w:bCs/>
          <w:i w:val="0"/>
          <w:caps w:val="0"/>
          <w:color w:val="333333"/>
          <w:spacing w:val="0"/>
          <w:kern w:val="0"/>
          <w:sz w:val="32"/>
          <w:szCs w:val="32"/>
          <w:u w:val="none"/>
          <w:shd w:val="clear" w:color="auto" w:fill="FFFFFF"/>
          <w:lang w:val="en-US" w:eastAsia="zh-CN" w:bidi="ar"/>
        </w:rPr>
        <w:t>六、其他需要报告的事项</w:t>
      </w:r>
    </w:p>
    <w:p w14:paraId="738391B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楷体_GB2312" w:hAnsi="楷体_GB2312" w:eastAsia="楷体_GB2312" w:cs="楷体_GB2312"/>
          <w:b w:val="0"/>
          <w:bCs/>
          <w:i w:val="0"/>
          <w:caps w:val="0"/>
          <w:strike w:val="0"/>
          <w:dstrike w:val="0"/>
          <w:color w:val="333333"/>
          <w:spacing w:val="0"/>
          <w:kern w:val="0"/>
          <w:sz w:val="32"/>
          <w:szCs w:val="32"/>
          <w:u w:val="none"/>
          <w:shd w:val="clear" w:color="auto" w:fill="FFFFFF"/>
          <w:lang w:val="en-US" w:eastAsia="zh-CN" w:bidi="ar"/>
        </w:rPr>
      </w:pPr>
      <w:r>
        <w:rPr>
          <w:rFonts w:hint="eastAsia" w:ascii="楷体_GB2312" w:hAnsi="楷体_GB2312" w:eastAsia="楷体_GB2312" w:cs="楷体_GB2312"/>
          <w:i w:val="0"/>
          <w:caps w:val="0"/>
          <w:strike w:val="0"/>
          <w:dstrike w:val="0"/>
          <w:color w:val="000000" w:themeColor="text1"/>
          <w:spacing w:val="0"/>
          <w:kern w:val="2"/>
          <w:sz w:val="32"/>
          <w:szCs w:val="32"/>
          <w:u w:val="none"/>
          <w:shd w:val="clear" w:color="auto" w:fill="FFFFFF"/>
          <w:lang w:val="en-US" w:eastAsia="zh-CN" w:bidi="ar-SA"/>
          <w14:textFill>
            <w14:solidFill>
              <w14:schemeClr w14:val="tx1"/>
            </w14:solidFill>
          </w14:textFill>
        </w:rPr>
        <w:t>（一）依申请公开信息处理费收费情况。</w:t>
      </w:r>
      <w:r>
        <w:rPr>
          <w:rFonts w:hint="eastAsia" w:ascii="仿宋_GB2312" w:hAnsi="仿宋_GB2312" w:eastAsia="仿宋_GB2312" w:cs="仿宋_GB2312"/>
          <w:i w:val="0"/>
          <w:caps w:val="0"/>
          <w:strike w:val="0"/>
          <w:dstrike w:val="0"/>
          <w:color w:val="000000" w:themeColor="text1"/>
          <w:spacing w:val="0"/>
          <w:kern w:val="2"/>
          <w:sz w:val="32"/>
          <w:szCs w:val="32"/>
          <w:u w:val="none"/>
          <w:shd w:val="clear" w:color="auto" w:fill="FFFFFF"/>
          <w:lang w:val="en-US" w:eastAsia="zh-CN" w:bidi="ar-SA"/>
          <w14:textFill>
            <w14:solidFill>
              <w14:schemeClr w14:val="tx1"/>
            </w14:solidFill>
          </w14:textFill>
        </w:rPr>
        <w:t>根据《国务院办公厅关于印发&lt;政府信息公开信息处理费管理办法&gt;的通知》（国办函〔2020〕109号），2024年全区各级行政机关在办理政府信息公开申请过程中，未收取信息处理费。</w:t>
      </w:r>
    </w:p>
    <w:p w14:paraId="64776BF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i w:val="0"/>
          <w:caps w:val="0"/>
          <w:strike w:val="0"/>
          <w:dstrike w:val="0"/>
          <w:color w:val="000000" w:themeColor="text1"/>
          <w:spacing w:val="0"/>
          <w:kern w:val="2"/>
          <w:sz w:val="32"/>
          <w:szCs w:val="32"/>
          <w:u w:val="none"/>
          <w:shd w:val="clear" w:color="auto" w:fill="FFFFFF"/>
          <w:lang w:val="en-US" w:eastAsia="zh-CN" w:bidi="ar-SA"/>
          <w14:textFill>
            <w14:solidFill>
              <w14:schemeClr w14:val="tx1"/>
            </w14:solidFill>
          </w14:textFill>
        </w:rPr>
      </w:pPr>
      <w:r>
        <w:rPr>
          <w:rFonts w:hint="eastAsia" w:ascii="楷体_GB2312" w:hAnsi="楷体_GB2312" w:eastAsia="楷体_GB2312" w:cs="楷体_GB2312"/>
          <w:i w:val="0"/>
          <w:caps w:val="0"/>
          <w:color w:val="000000" w:themeColor="text1"/>
          <w:spacing w:val="0"/>
          <w:kern w:val="2"/>
          <w:sz w:val="32"/>
          <w:szCs w:val="32"/>
          <w:u w:val="none"/>
          <w:shd w:val="clear" w:color="auto" w:fill="FFFFFF"/>
          <w:lang w:val="en-US" w:eastAsia="zh-CN" w:bidi="ar-SA"/>
          <w14:textFill>
            <w14:solidFill>
              <w14:schemeClr w14:val="tx1"/>
            </w14:solidFill>
          </w14:textFill>
        </w:rPr>
        <w:t>（二）建议提案办理情况。</w:t>
      </w:r>
      <w:r>
        <w:rPr>
          <w:rFonts w:hint="eastAsia" w:ascii="仿宋_GB2312" w:hAnsi="仿宋_GB2312" w:eastAsia="仿宋_GB2312" w:cs="仿宋_GB2312"/>
          <w:i w:val="0"/>
          <w:caps w:val="0"/>
          <w:strike w:val="0"/>
          <w:dstrike w:val="0"/>
          <w:color w:val="000000" w:themeColor="text1"/>
          <w:spacing w:val="0"/>
          <w:kern w:val="2"/>
          <w:sz w:val="32"/>
          <w:szCs w:val="32"/>
          <w:u w:val="none"/>
          <w:shd w:val="clear" w:color="auto" w:fill="FFFFFF"/>
          <w:lang w:val="en-US" w:eastAsia="zh-CN" w:bidi="ar-SA"/>
          <w14:textFill>
            <w14:solidFill>
              <w14:schemeClr w14:val="tx1"/>
            </w14:solidFill>
          </w14:textFill>
        </w:rPr>
        <w:t>2024年全区政府系统共承办区十九届人大三次会议交办的区人大代表建议81件、区政协十三届三次会议交办的区政协委员提案157件、闭会期间提案2件，所有建议提案均按期答复完毕，办结率、满意率均达到100%，确定为“主动公开”属性的复文全文或摘要通过政府信息公开平台及时公开</w:t>
      </w:r>
      <w:r>
        <w:rPr>
          <w:rFonts w:hint="default" w:ascii="仿宋_GB2312" w:hAnsi="仿宋_GB2312" w:eastAsia="仿宋_GB2312" w:cs="仿宋_GB2312"/>
          <w:i w:val="0"/>
          <w:caps w:val="0"/>
          <w:strike w:val="0"/>
          <w:dstrike w:val="0"/>
          <w:color w:val="000000" w:themeColor="text1"/>
          <w:spacing w:val="0"/>
          <w:kern w:val="2"/>
          <w:sz w:val="32"/>
          <w:szCs w:val="32"/>
          <w:u w:val="none"/>
          <w:shd w:val="clear" w:color="auto" w:fill="FFFFFF"/>
          <w:lang w:val="en-US" w:eastAsia="zh-CN" w:bidi="ar-SA"/>
          <w14:textFill>
            <w14:solidFill>
              <w14:schemeClr w14:val="tx1"/>
            </w14:solidFill>
          </w14:textFill>
        </w:rPr>
        <w:t>。</w:t>
      </w:r>
    </w:p>
    <w:p w14:paraId="70B2781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i w:val="0"/>
          <w:caps w:val="0"/>
          <w:strike w:val="0"/>
          <w:dstrike w:val="0"/>
          <w:color w:val="000000" w:themeColor="text1"/>
          <w:spacing w:val="0"/>
          <w:kern w:val="2"/>
          <w:sz w:val="32"/>
          <w:szCs w:val="32"/>
          <w:u w:val="none"/>
          <w:shd w:val="clear" w:color="auto" w:fill="FFFFFF"/>
          <w:lang w:val="en-US" w:eastAsia="zh-CN" w:bidi="ar-SA"/>
          <w14:textFill>
            <w14:solidFill>
              <w14:schemeClr w14:val="tx1"/>
            </w14:solidFill>
          </w14:textFill>
        </w:rPr>
      </w:pPr>
      <w:r>
        <w:rPr>
          <w:rFonts w:hint="eastAsia" w:ascii="楷体_GB2312" w:hAnsi="楷体_GB2312" w:eastAsia="楷体_GB2312" w:cs="楷体_GB2312"/>
          <w:i w:val="0"/>
          <w:caps w:val="0"/>
          <w:color w:val="000000" w:themeColor="text1"/>
          <w:spacing w:val="0"/>
          <w:kern w:val="2"/>
          <w:sz w:val="32"/>
          <w:szCs w:val="32"/>
          <w:u w:val="none"/>
          <w:shd w:val="clear" w:color="auto" w:fill="FFFFFF"/>
          <w:lang w:val="en-US" w:eastAsia="zh-CN" w:bidi="ar-SA"/>
          <w14:textFill>
            <w14:solidFill>
              <w14:schemeClr w14:val="tx1"/>
            </w14:solidFill>
          </w14:textFill>
        </w:rPr>
        <w:t>（三）政务公开创新实践情况。</w:t>
      </w:r>
      <w:r>
        <w:rPr>
          <w:rFonts w:hint="eastAsia" w:ascii="仿宋_GB2312" w:hAnsi="宋体" w:eastAsia="仿宋_GB2312" w:cs="仿宋_GB2312"/>
          <w:b/>
          <w:bCs/>
          <w:i w:val="0"/>
          <w:iCs w:val="0"/>
          <w:caps w:val="0"/>
          <w:color w:val="000000"/>
          <w:spacing w:val="0"/>
          <w:sz w:val="32"/>
          <w:szCs w:val="32"/>
          <w:u w:val="none"/>
          <w:shd w:val="clear" w:fill="FFFFFF"/>
          <w:lang w:val="en-US" w:eastAsia="zh-CN"/>
        </w:rPr>
        <w:t>一是拓展培训深度，提升全区政务公开队伍能力水平。</w:t>
      </w:r>
      <w:r>
        <w:rPr>
          <w:rFonts w:hint="eastAsia" w:ascii="仿宋_GB2312" w:hAnsi="宋体" w:eastAsia="仿宋_GB2312" w:cs="仿宋_GB2312"/>
          <w:i w:val="0"/>
          <w:iCs w:val="0"/>
          <w:caps w:val="0"/>
          <w:color w:val="000000"/>
          <w:spacing w:val="0"/>
          <w:sz w:val="32"/>
          <w:szCs w:val="32"/>
          <w:u w:val="none"/>
          <w:shd w:val="clear" w:fill="FFFFFF"/>
          <w:lang w:val="en-US" w:eastAsia="zh-CN"/>
        </w:rPr>
        <w:t>统筹用好集中培训、个别辅导等多种培训方式，年内组织开展集中培训2次，详细讲解主动公开、依申请公开、政策解读、主动公开事项目录编制等业务知识；探索实施“双月工作法”，每2个月组织政务公开工作相对薄弱的单位开展“一对一”业务培训指导，进一步提升了全区政务公开工作队伍的公开意识和业务水平。</w:t>
      </w:r>
      <w:r>
        <w:rPr>
          <w:rFonts w:hint="eastAsia" w:ascii="仿宋_GB2312" w:hAnsi="仿宋_GB2312" w:eastAsia="仿宋_GB2312" w:cs="仿宋_GB2312"/>
          <w:b/>
          <w:bCs/>
          <w:i w:val="0"/>
          <w:caps w:val="0"/>
          <w:strike w:val="0"/>
          <w:dstrike w:val="0"/>
          <w:color w:val="000000" w:themeColor="text1"/>
          <w:spacing w:val="0"/>
          <w:kern w:val="2"/>
          <w:sz w:val="32"/>
          <w:szCs w:val="32"/>
          <w:u w:val="none"/>
          <w:shd w:val="clear" w:color="auto" w:fill="FFFFFF"/>
          <w:lang w:val="en-US" w:eastAsia="zh-CN" w:bidi="ar-SA"/>
          <w14:textFill>
            <w14:solidFill>
              <w14:schemeClr w14:val="tx1"/>
            </w14:solidFill>
          </w14:textFill>
        </w:rPr>
        <w:t>二是推出政务“双码双进”，拓展企业群众政策普及度、办事便利度。</w:t>
      </w:r>
      <w:r>
        <w:rPr>
          <w:rFonts w:hint="eastAsia" w:ascii="仿宋_GB2312" w:hAnsi="仿宋_GB2312" w:eastAsia="仿宋_GB2312" w:cs="仿宋_GB2312"/>
          <w:i w:val="0"/>
          <w:caps w:val="0"/>
          <w:strike w:val="0"/>
          <w:dstrike w:val="0"/>
          <w:color w:val="000000" w:themeColor="text1"/>
          <w:spacing w:val="0"/>
          <w:kern w:val="2"/>
          <w:sz w:val="32"/>
          <w:szCs w:val="32"/>
          <w:u w:val="none"/>
          <w:shd w:val="clear" w:color="auto" w:fill="FFFFFF"/>
          <w:lang w:val="en-US" w:eastAsia="zh-CN" w:bidi="ar-SA"/>
          <w14:textFill>
            <w14:solidFill>
              <w14:schemeClr w14:val="tx1"/>
            </w14:solidFill>
          </w14:textFill>
        </w:rPr>
        <w:t>系统梳理100项惠企便民高频政策事项，归集生成政务“红码”和“蓝码”，设置在园区企业、社区小区显著位置，企业群众可随时随地扫码了解政策详细情况、获取高频事项的服务指南以及专属“跑手”联系方式，进一步满足了全区企业群众个性化的办事需求。</w:t>
      </w:r>
      <w:r>
        <w:rPr>
          <w:rFonts w:hint="eastAsia" w:ascii="仿宋_GB2312" w:hAnsi="仿宋_GB2312" w:eastAsia="仿宋_GB2312" w:cs="仿宋_GB2312"/>
          <w:b/>
          <w:bCs/>
          <w:i w:val="0"/>
          <w:caps w:val="0"/>
          <w:strike w:val="0"/>
          <w:dstrike w:val="0"/>
          <w:color w:val="000000" w:themeColor="text1"/>
          <w:spacing w:val="0"/>
          <w:kern w:val="2"/>
          <w:sz w:val="32"/>
          <w:szCs w:val="32"/>
          <w:u w:val="none"/>
          <w:shd w:val="clear" w:color="auto" w:fill="FFFFFF"/>
          <w:lang w:val="en-US" w:eastAsia="zh-CN" w:bidi="ar-SA"/>
          <w14:textFill>
            <w14:solidFill>
              <w14:schemeClr w14:val="tx1"/>
            </w14:solidFill>
          </w14:textFill>
        </w:rPr>
        <w:t>三是精心打造“小哥探岗”品牌，创新人社政策宣传模式。</w:t>
      </w:r>
      <w:r>
        <w:rPr>
          <w:rFonts w:hint="eastAsia" w:ascii="仿宋_GB2312" w:hAnsi="仿宋_GB2312" w:eastAsia="仿宋_GB2312" w:cs="仿宋_GB2312"/>
          <w:i w:val="0"/>
          <w:caps w:val="0"/>
          <w:strike w:val="0"/>
          <w:dstrike w:val="0"/>
          <w:color w:val="000000" w:themeColor="text1"/>
          <w:spacing w:val="0"/>
          <w:kern w:val="2"/>
          <w:sz w:val="32"/>
          <w:szCs w:val="32"/>
          <w:u w:val="none"/>
          <w:shd w:val="clear" w:color="auto" w:fill="FFFFFF"/>
          <w:lang w:val="en-US" w:eastAsia="zh-CN" w:bidi="ar-SA"/>
          <w14:textFill>
            <w14:solidFill>
              <w14:schemeClr w14:val="tx1"/>
            </w14:solidFill>
          </w14:textFill>
        </w:rPr>
        <w:t>区人力资源和社会保障局定期开展直播活动，在线解答群众提出的各类人社问题，内容涵盖就业创业、社会保险、劳动关系等诸多关键板块，累计发布企业推介视频12期、企业招聘信息50余期，有效帮助企业精准匹配、积极链接招引优秀人才，同时也让群众对人社政策与就业环境有了更为直观深入的了解。</w:t>
      </w:r>
    </w:p>
    <w:p w14:paraId="66216F0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i w:val="0"/>
          <w:caps w:val="0"/>
          <w:strike w:val="0"/>
          <w:dstrike w:val="0"/>
          <w:color w:val="000000" w:themeColor="text1"/>
          <w:spacing w:val="0"/>
          <w:kern w:val="2"/>
          <w:sz w:val="32"/>
          <w:szCs w:val="32"/>
          <w:u w:val="none"/>
          <w:shd w:val="clear" w:color="auto" w:fill="FFFFFF"/>
          <w:lang w:val="en-US" w:eastAsia="zh-CN" w:bidi="ar-SA"/>
          <w14:textFill>
            <w14:solidFill>
              <w14:schemeClr w14:val="tx1"/>
            </w14:solidFill>
          </w14:textFill>
        </w:rPr>
      </w:pPr>
      <w:r>
        <w:rPr>
          <w:rFonts w:hint="eastAsia" w:ascii="楷体_GB2312" w:hAnsi="楷体_GB2312" w:eastAsia="楷体_GB2312" w:cs="楷体_GB2312"/>
          <w:i w:val="0"/>
          <w:caps w:val="0"/>
          <w:color w:val="000000" w:themeColor="text1"/>
          <w:spacing w:val="0"/>
          <w:kern w:val="2"/>
          <w:sz w:val="32"/>
          <w:szCs w:val="32"/>
          <w:u w:val="none"/>
          <w:shd w:val="clear" w:color="auto" w:fill="FFFFFF"/>
          <w:lang w:val="en-US" w:eastAsia="zh-CN" w:bidi="ar-SA"/>
          <w14:textFill>
            <w14:solidFill>
              <w14:schemeClr w14:val="tx1"/>
            </w14:solidFill>
          </w14:textFill>
        </w:rPr>
        <w:t>（四）落实上级年度政务公开工作要点情况。</w:t>
      </w:r>
      <w:r>
        <w:rPr>
          <w:rFonts w:hint="eastAsia" w:ascii="仿宋_GB2312" w:hAnsi="仿宋_GB2312" w:eastAsia="仿宋_GB2312" w:cs="仿宋_GB2312"/>
          <w:b/>
          <w:bCs/>
          <w:i w:val="0"/>
          <w:caps w:val="0"/>
          <w:strike w:val="0"/>
          <w:dstrike w:val="0"/>
          <w:color w:val="000000" w:themeColor="text1"/>
          <w:spacing w:val="0"/>
          <w:kern w:val="2"/>
          <w:sz w:val="32"/>
          <w:szCs w:val="32"/>
          <w:u w:val="none"/>
          <w:shd w:val="clear" w:color="auto" w:fill="FFFFFF"/>
          <w:lang w:val="en-US" w:eastAsia="zh-CN" w:bidi="ar-SA"/>
          <w14:textFill>
            <w14:solidFill>
              <w14:schemeClr w14:val="tx1"/>
            </w14:solidFill>
          </w14:textFill>
        </w:rPr>
        <w:t>一是</w:t>
      </w:r>
      <w:r>
        <w:rPr>
          <w:rFonts w:hint="eastAsia" w:ascii="仿宋_GB2312" w:hAnsi="仿宋_GB2312" w:eastAsia="仿宋_GB2312" w:cs="仿宋_GB2312"/>
          <w:i w:val="0"/>
          <w:caps w:val="0"/>
          <w:strike w:val="0"/>
          <w:dstrike w:val="0"/>
          <w:color w:val="000000" w:themeColor="text1"/>
          <w:spacing w:val="0"/>
          <w:kern w:val="2"/>
          <w:sz w:val="32"/>
          <w:szCs w:val="32"/>
          <w:u w:val="none"/>
          <w:shd w:val="clear" w:color="auto" w:fill="FFFFFF"/>
          <w:lang w:val="en-US" w:eastAsia="zh-CN" w:bidi="ar-SA"/>
          <w14:textFill>
            <w14:solidFill>
              <w14:schemeClr w14:val="tx1"/>
            </w14:solidFill>
          </w14:textFill>
        </w:rPr>
        <w:t>认真落实省、市2024年政务公开工作要求，结合我区实际，制定了《2024年博山区政务公开工作方案》，并细化分解为6大方面、67条具体工作任务，逐项明确责任单位、工作要求，加强对各部门、单位工作任务完成情况的调度督导，确保工作成效。</w:t>
      </w:r>
      <w:r>
        <w:rPr>
          <w:rFonts w:hint="eastAsia" w:ascii="仿宋_GB2312" w:hAnsi="仿宋_GB2312" w:eastAsia="仿宋_GB2312" w:cs="仿宋_GB2312"/>
          <w:b/>
          <w:bCs/>
          <w:i w:val="0"/>
          <w:caps w:val="0"/>
          <w:strike w:val="0"/>
          <w:dstrike w:val="0"/>
          <w:color w:val="000000" w:themeColor="text1"/>
          <w:spacing w:val="0"/>
          <w:kern w:val="2"/>
          <w:sz w:val="32"/>
          <w:szCs w:val="32"/>
          <w:u w:val="none"/>
          <w:shd w:val="clear" w:color="auto" w:fill="FFFFFF"/>
          <w:lang w:val="en-US" w:eastAsia="zh-CN" w:bidi="ar-SA"/>
          <w14:textFill>
            <w14:solidFill>
              <w14:schemeClr w14:val="tx1"/>
            </w14:solidFill>
          </w14:textFill>
        </w:rPr>
        <w:t>二是</w:t>
      </w:r>
      <w:r>
        <w:rPr>
          <w:rFonts w:hint="eastAsia" w:ascii="仿宋_GB2312" w:hAnsi="仿宋_GB2312" w:eastAsia="仿宋_GB2312" w:cs="仿宋_GB2312"/>
          <w:i w:val="0"/>
          <w:caps w:val="0"/>
          <w:strike w:val="0"/>
          <w:dstrike w:val="0"/>
          <w:color w:val="000000" w:themeColor="text1"/>
          <w:spacing w:val="0"/>
          <w:kern w:val="2"/>
          <w:sz w:val="32"/>
          <w:szCs w:val="32"/>
          <w:u w:val="none"/>
          <w:shd w:val="clear" w:color="auto" w:fill="FFFFFF"/>
          <w:lang w:val="en-US" w:eastAsia="zh-CN" w:bidi="ar-SA"/>
          <w14:textFill>
            <w14:solidFill>
              <w14:schemeClr w14:val="tx1"/>
            </w14:solidFill>
          </w14:textFill>
        </w:rPr>
        <w:t>组织40余个部门单位结合主责主业，开展了一系列互动性强、群众参与度高的“政务公开主题日”宣传活动，着力提升政民互动成效，让政务公开融入群众日常生活，形成良好的互动氛围。</w:t>
      </w:r>
      <w:r>
        <w:rPr>
          <w:rFonts w:hint="eastAsia" w:ascii="仿宋_GB2312" w:hAnsi="仿宋_GB2312" w:eastAsia="仿宋_GB2312" w:cs="仿宋_GB2312"/>
          <w:b/>
          <w:bCs/>
          <w:i w:val="0"/>
          <w:caps w:val="0"/>
          <w:strike w:val="0"/>
          <w:dstrike w:val="0"/>
          <w:color w:val="000000" w:themeColor="text1"/>
          <w:spacing w:val="0"/>
          <w:kern w:val="2"/>
          <w:sz w:val="32"/>
          <w:szCs w:val="32"/>
          <w:u w:val="none"/>
          <w:shd w:val="clear" w:color="auto" w:fill="FFFFFF"/>
          <w:lang w:val="en-US" w:eastAsia="zh-CN" w:bidi="ar-SA"/>
          <w14:textFill>
            <w14:solidFill>
              <w14:schemeClr w14:val="tx1"/>
            </w14:solidFill>
          </w14:textFill>
        </w:rPr>
        <w:t>三是</w:t>
      </w:r>
      <w:r>
        <w:rPr>
          <w:rFonts w:hint="eastAsia" w:ascii="仿宋_GB2312" w:hAnsi="仿宋_GB2312" w:eastAsia="仿宋_GB2312" w:cs="仿宋_GB2312"/>
          <w:b w:val="0"/>
          <w:bCs w:val="0"/>
          <w:color w:val="auto"/>
          <w:sz w:val="32"/>
          <w:szCs w:val="32"/>
          <w:lang w:eastAsia="zh-CN"/>
        </w:rPr>
        <w:t>注重</w:t>
      </w:r>
      <w:r>
        <w:rPr>
          <w:rFonts w:hint="eastAsia" w:ascii="仿宋_GB2312" w:hAnsi="仿宋_GB2312" w:eastAsia="仿宋_GB2312" w:cs="仿宋_GB2312"/>
          <w:b w:val="0"/>
          <w:bCs w:val="0"/>
          <w:color w:val="auto"/>
          <w:sz w:val="32"/>
          <w:szCs w:val="32"/>
          <w:lang w:val="en-US" w:eastAsia="zh-CN"/>
        </w:rPr>
        <w:t>典型经验宣传推广，先后围绕政策解读、依申请公开办理、政务公开品牌建设等主题，组织各部门、单位认真总结提炼</w:t>
      </w:r>
      <w:r>
        <w:rPr>
          <w:rFonts w:hint="eastAsia" w:ascii="仿宋_GB2312" w:hAnsi="仿宋_GB2312" w:eastAsia="仿宋_GB2312" w:cs="仿宋_GB2312"/>
          <w:b w:val="0"/>
          <w:bCs w:val="0"/>
          <w:color w:val="auto"/>
          <w:sz w:val="32"/>
          <w:szCs w:val="32"/>
          <w:lang w:eastAsia="zh-CN"/>
        </w:rPr>
        <w:t>典型案例，</w:t>
      </w:r>
      <w:r>
        <w:rPr>
          <w:rFonts w:hint="eastAsia" w:ascii="仿宋_GB2312" w:hAnsi="仿宋_GB2312" w:eastAsia="仿宋_GB2312" w:cs="仿宋_GB2312"/>
          <w:b w:val="0"/>
          <w:bCs w:val="0"/>
          <w:color w:val="auto"/>
          <w:sz w:val="32"/>
          <w:szCs w:val="32"/>
          <w:lang w:val="en-US" w:eastAsia="zh-CN"/>
        </w:rPr>
        <w:t>并在全区面上进行</w:t>
      </w:r>
      <w:r>
        <w:rPr>
          <w:rFonts w:hint="eastAsia" w:ascii="仿宋_GB2312" w:hAnsi="仿宋_GB2312" w:eastAsia="仿宋_GB2312" w:cs="仿宋_GB2312"/>
          <w:b w:val="0"/>
          <w:bCs w:val="0"/>
          <w:color w:val="auto"/>
          <w:sz w:val="32"/>
          <w:szCs w:val="32"/>
          <w:lang w:eastAsia="zh-CN"/>
        </w:rPr>
        <w:t>宣传推广，</w:t>
      </w:r>
      <w:r>
        <w:rPr>
          <w:rFonts w:hint="eastAsia" w:ascii="仿宋_GB2312" w:hAnsi="仿宋_GB2312" w:eastAsia="仿宋_GB2312" w:cs="仿宋_GB2312"/>
          <w:b w:val="0"/>
          <w:bCs w:val="0"/>
          <w:color w:val="auto"/>
          <w:sz w:val="32"/>
          <w:szCs w:val="32"/>
          <w:lang w:val="en-US" w:eastAsia="zh-CN"/>
        </w:rPr>
        <w:t>促进各单位互相学习借鉴，进一步提升了全区政务公开整体工作水平。</w:t>
      </w:r>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DD93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9FEAEB">
                          <w:pPr>
                            <w:pStyle w:val="2"/>
                            <w:keepNext w:val="0"/>
                            <w:keepLines w:val="0"/>
                            <w:pageBreakBefore w:val="0"/>
                            <w:widowControl w:val="0"/>
                            <w:kinsoku/>
                            <w:wordWrap/>
                            <w:overflowPunct/>
                            <w:topLinePunct w:val="0"/>
                            <w:bidi w:val="0"/>
                            <w:adjustRightInd/>
                            <w:snapToGrid w:val="0"/>
                            <w:ind w:left="210" w:leftChars="100" w:right="210" w:rightChars="1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9FEAEB">
                    <w:pPr>
                      <w:pStyle w:val="2"/>
                      <w:keepNext w:val="0"/>
                      <w:keepLines w:val="0"/>
                      <w:pageBreakBefore w:val="0"/>
                      <w:widowControl w:val="0"/>
                      <w:kinsoku/>
                      <w:wordWrap/>
                      <w:overflowPunct/>
                      <w:topLinePunct w:val="0"/>
                      <w:bidi w:val="0"/>
                      <w:adjustRightInd/>
                      <w:snapToGrid w:val="0"/>
                      <w:ind w:left="210" w:leftChars="100" w:right="210" w:rightChars="1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C2CDB"/>
    <w:rsid w:val="05500BDA"/>
    <w:rsid w:val="05771D53"/>
    <w:rsid w:val="0B5E3BB4"/>
    <w:rsid w:val="0B9510F4"/>
    <w:rsid w:val="0CEA4E95"/>
    <w:rsid w:val="0DDE3227"/>
    <w:rsid w:val="0EE303C9"/>
    <w:rsid w:val="0EEA1757"/>
    <w:rsid w:val="0FAC1BEC"/>
    <w:rsid w:val="1534372C"/>
    <w:rsid w:val="15F66C34"/>
    <w:rsid w:val="18EA6F23"/>
    <w:rsid w:val="19A02D87"/>
    <w:rsid w:val="1B2A7AAB"/>
    <w:rsid w:val="1E276524"/>
    <w:rsid w:val="1F470500"/>
    <w:rsid w:val="1FB21E1D"/>
    <w:rsid w:val="201C7BDE"/>
    <w:rsid w:val="202E0D71"/>
    <w:rsid w:val="223E208E"/>
    <w:rsid w:val="22CB3D77"/>
    <w:rsid w:val="25DF5936"/>
    <w:rsid w:val="26DC3390"/>
    <w:rsid w:val="2C6E17C2"/>
    <w:rsid w:val="2E156399"/>
    <w:rsid w:val="32D8120E"/>
    <w:rsid w:val="387C0DC3"/>
    <w:rsid w:val="38C74734"/>
    <w:rsid w:val="3A084BD3"/>
    <w:rsid w:val="3B027CA5"/>
    <w:rsid w:val="3BB80364"/>
    <w:rsid w:val="420460B1"/>
    <w:rsid w:val="42291FBB"/>
    <w:rsid w:val="455802C3"/>
    <w:rsid w:val="461B4EE1"/>
    <w:rsid w:val="48F232D1"/>
    <w:rsid w:val="4A0F5CBE"/>
    <w:rsid w:val="4B8B7843"/>
    <w:rsid w:val="4C6B4F7E"/>
    <w:rsid w:val="4DF80A94"/>
    <w:rsid w:val="4F512B51"/>
    <w:rsid w:val="4FB01626"/>
    <w:rsid w:val="511B3417"/>
    <w:rsid w:val="526F3A1A"/>
    <w:rsid w:val="53C102A5"/>
    <w:rsid w:val="54890697"/>
    <w:rsid w:val="58A923E2"/>
    <w:rsid w:val="59172716"/>
    <w:rsid w:val="612C552B"/>
    <w:rsid w:val="63F21DB5"/>
    <w:rsid w:val="673426E5"/>
    <w:rsid w:val="67472418"/>
    <w:rsid w:val="68541290"/>
    <w:rsid w:val="68A1024E"/>
    <w:rsid w:val="6AAD6A36"/>
    <w:rsid w:val="6ABA73A5"/>
    <w:rsid w:val="6B677AD0"/>
    <w:rsid w:val="6C663340"/>
    <w:rsid w:val="6D66014E"/>
    <w:rsid w:val="6DDE2563"/>
    <w:rsid w:val="70BC65D2"/>
    <w:rsid w:val="715220E5"/>
    <w:rsid w:val="735C36EF"/>
    <w:rsid w:val="735C3BD1"/>
    <w:rsid w:val="78283BA0"/>
    <w:rsid w:val="78B96BDB"/>
    <w:rsid w:val="7D012C11"/>
    <w:rsid w:val="7D4C6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3912</Words>
  <Characters>4080</Characters>
  <Lines>0</Lines>
  <Paragraphs>0</Paragraphs>
  <TotalTime>1</TotalTime>
  <ScaleCrop>false</ScaleCrop>
  <LinksUpToDate>false</LinksUpToDate>
  <CharactersWithSpaces>4080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2025-01-27T02:54:00Z</dcterms:created>
  <dc:creator>mymta</dc:creator>
  <cp:lastModifiedBy>孟文豪</cp:lastModifiedBy>
  <cp:lastPrinted>2025-02-17T09:16:00Z</cp:lastPrinted>
  <dcterms:modified xsi:type="dcterms:W3CDTF">2025-02-17T10:46:52Z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eyJoZGlkIjoiZjI0YmY3YmNjOWJlMzlhODIxYmFkMzZiYTFkMDQwODAiLCJ1c2VySWQiOiI0MjgxNTg0MzEifQ==</vt:lpwstr>
  </property>
  <property fmtid="{D5CDD505-2E9C-101B-9397-08002B2CF9AE}" pid="4" name="ICV">
    <vt:lpwstr>9EB032CCF4BD4D6EB0C177E6FAEB5423_12</vt:lpwstr>
  </property>
</Properties>
</file>